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2D91F" w14:textId="77777777" w:rsidR="00506DDB" w:rsidRPr="00D337F3" w:rsidRDefault="00A95B4F" w:rsidP="00FB3A94">
      <w:pPr>
        <w:pBdr>
          <w:bottom w:val="single" w:sz="12" w:space="1" w:color="8E744B"/>
        </w:pBdr>
        <w:outlineLvl w:val="0"/>
        <w:rPr>
          <w:b/>
          <w:caps/>
          <w:sz w:val="32"/>
          <w:szCs w:val="32"/>
        </w:rPr>
      </w:pPr>
      <w:r w:rsidRPr="00D337F3">
        <w:rPr>
          <w:b/>
          <w:caps/>
          <w:sz w:val="32"/>
          <w:szCs w:val="32"/>
        </w:rPr>
        <w:t>Partnership risk register</w:t>
      </w:r>
    </w:p>
    <w:p w14:paraId="07605E5F" w14:textId="77777777" w:rsidR="00A7722D" w:rsidRDefault="00A7722D" w:rsidP="00CD4778">
      <w:pPr>
        <w:pBdr>
          <w:bottom w:val="single" w:sz="12" w:space="1" w:color="8E744B"/>
        </w:pBdr>
        <w:rPr>
          <w:b/>
          <w:caps/>
          <w:sz w:val="32"/>
          <w:szCs w:val="32"/>
          <w:highlight w:val="yellow"/>
        </w:rPr>
        <w:sectPr w:rsidR="00A7722D" w:rsidSect="00A95B4F">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559" w:bottom="851" w:left="1701" w:header="426" w:footer="57" w:gutter="0"/>
          <w:cols w:space="708"/>
          <w:titlePg/>
          <w:docGrid w:linePitch="360"/>
        </w:sectPr>
      </w:pPr>
    </w:p>
    <w:tbl>
      <w:tblPr>
        <w:tblStyle w:val="TableGrid"/>
        <w:tblW w:w="5000" w:type="pct"/>
        <w:tblLook w:val="04A0" w:firstRow="1" w:lastRow="0" w:firstColumn="1" w:lastColumn="0" w:noHBand="0" w:noVBand="1"/>
        <w:tblDescription w:val="The Closing the Gap Partnership Risk Register table describes risks A to F, their ratings (high, medium, and low), and their mitigations (numbered 1 to 25)."/>
      </w:tblPr>
      <w:tblGrid>
        <w:gridCol w:w="3286"/>
        <w:gridCol w:w="1096"/>
        <w:gridCol w:w="9186"/>
      </w:tblGrid>
      <w:tr w:rsidR="00A7722D" w:rsidRPr="00ED63A1" w14:paraId="7422AF79" w14:textId="77777777" w:rsidTr="00DD0291">
        <w:trPr>
          <w:cantSplit/>
          <w:tblHeader/>
        </w:trPr>
        <w:tc>
          <w:tcPr>
            <w:tcW w:w="1211" w:type="pct"/>
            <w:shd w:val="clear" w:color="auto" w:fill="44546A"/>
          </w:tcPr>
          <w:p w14:paraId="17110967" w14:textId="77777777" w:rsidR="00A7722D" w:rsidRPr="00BF7273" w:rsidRDefault="00A7722D" w:rsidP="00F63F50">
            <w:pPr>
              <w:spacing w:before="120" w:after="120"/>
              <w:rPr>
                <w:b/>
                <w:color w:val="FFFFFF" w:themeColor="background1"/>
              </w:rPr>
            </w:pPr>
            <w:r w:rsidRPr="00BF7273">
              <w:rPr>
                <w:b/>
                <w:color w:val="FFFFFF" w:themeColor="background1"/>
              </w:rPr>
              <w:t>Risk</w:t>
            </w:r>
          </w:p>
        </w:tc>
        <w:tc>
          <w:tcPr>
            <w:tcW w:w="404" w:type="pct"/>
            <w:shd w:val="clear" w:color="auto" w:fill="44546A"/>
          </w:tcPr>
          <w:p w14:paraId="03A27250" w14:textId="77777777" w:rsidR="00A7722D" w:rsidRPr="00BF7273" w:rsidRDefault="00A7722D" w:rsidP="00F63F50">
            <w:pPr>
              <w:spacing w:before="120" w:after="120"/>
              <w:rPr>
                <w:b/>
                <w:color w:val="FFFFFF" w:themeColor="background1"/>
              </w:rPr>
            </w:pPr>
            <w:r w:rsidRPr="00BF7273">
              <w:rPr>
                <w:b/>
                <w:color w:val="FFFFFF" w:themeColor="background1"/>
              </w:rPr>
              <w:t>Rating</w:t>
            </w:r>
          </w:p>
        </w:tc>
        <w:tc>
          <w:tcPr>
            <w:tcW w:w="3385" w:type="pct"/>
            <w:shd w:val="clear" w:color="auto" w:fill="44546A"/>
          </w:tcPr>
          <w:p w14:paraId="0A081BE4" w14:textId="77777777" w:rsidR="00A7722D" w:rsidRPr="00BF7273" w:rsidRDefault="00A7722D" w:rsidP="00F63F50">
            <w:pPr>
              <w:spacing w:before="120" w:after="120"/>
              <w:rPr>
                <w:b/>
                <w:color w:val="FFFFFF" w:themeColor="background1"/>
              </w:rPr>
            </w:pPr>
            <w:r w:rsidRPr="00BF7273">
              <w:rPr>
                <w:b/>
                <w:color w:val="FFFFFF" w:themeColor="background1"/>
              </w:rPr>
              <w:t>Mitigation</w:t>
            </w:r>
          </w:p>
        </w:tc>
      </w:tr>
      <w:tr w:rsidR="00A7722D" w:rsidRPr="00ED63A1" w14:paraId="51295EC3" w14:textId="77777777" w:rsidTr="00F63F50">
        <w:trPr>
          <w:cantSplit/>
          <w:trHeight w:val="5411"/>
        </w:trPr>
        <w:tc>
          <w:tcPr>
            <w:tcW w:w="1211" w:type="pct"/>
          </w:tcPr>
          <w:p w14:paraId="71B2B741" w14:textId="77777777" w:rsidR="00A7722D" w:rsidRPr="00ED63A1" w:rsidRDefault="00A7722D" w:rsidP="00F63F50">
            <w:pPr>
              <w:spacing w:before="120" w:after="120"/>
            </w:pPr>
            <w:r w:rsidRPr="00ED63A1">
              <w:t>A</w:t>
            </w:r>
          </w:p>
          <w:p w14:paraId="702D3404" w14:textId="77777777" w:rsidR="00A7722D" w:rsidRPr="00ED63A1" w:rsidRDefault="00A7722D" w:rsidP="00F63F50">
            <w:pPr>
              <w:spacing w:before="120" w:after="120"/>
            </w:pPr>
            <w:r w:rsidRPr="00ED63A1">
              <w:t>Expectations of the Partnership Parties are not shared or jointly understood leading to misunderstandings and strained relationships.</w:t>
            </w:r>
          </w:p>
        </w:tc>
        <w:tc>
          <w:tcPr>
            <w:tcW w:w="404" w:type="pct"/>
          </w:tcPr>
          <w:p w14:paraId="113183F4" w14:textId="77777777" w:rsidR="00A7722D" w:rsidRPr="00ED63A1" w:rsidRDefault="00A7722D" w:rsidP="00F63F50">
            <w:pPr>
              <w:spacing w:before="120" w:after="120"/>
            </w:pPr>
            <w:r w:rsidRPr="00ED63A1">
              <w:t>High</w:t>
            </w:r>
          </w:p>
        </w:tc>
        <w:tc>
          <w:tcPr>
            <w:tcW w:w="3385" w:type="pct"/>
          </w:tcPr>
          <w:p w14:paraId="339FDCEA" w14:textId="77777777" w:rsidR="00A7722D" w:rsidRPr="00ED63A1" w:rsidRDefault="00A7722D" w:rsidP="00A7722D">
            <w:pPr>
              <w:pStyle w:val="ListParagraph"/>
              <w:numPr>
                <w:ilvl w:val="0"/>
                <w:numId w:val="30"/>
              </w:numPr>
              <w:spacing w:before="120" w:after="120"/>
              <w:contextualSpacing w:val="0"/>
            </w:pPr>
            <w:r w:rsidRPr="00ED63A1">
              <w:t>The Partnership Working Group (PWG) holds a dedicated annual discussion following each Partnership Health Check, including reaching a shared understanding of the key principles and concepts. This meeting will be held before the Joint Council meeting each year.</w:t>
            </w:r>
          </w:p>
          <w:p w14:paraId="16EADC78" w14:textId="77777777" w:rsidR="00A7722D" w:rsidRPr="00ED63A1" w:rsidRDefault="00A7722D" w:rsidP="00A7722D">
            <w:pPr>
              <w:pStyle w:val="ListParagraph"/>
              <w:numPr>
                <w:ilvl w:val="0"/>
                <w:numId w:val="30"/>
              </w:numPr>
              <w:spacing w:before="120" w:after="120"/>
              <w:contextualSpacing w:val="0"/>
            </w:pPr>
            <w:r w:rsidRPr="00ED63A1">
              <w:t>The Joint Council sets aside sufficient time to consider the findings and recommendations of the Health Check at its first meeting each year.</w:t>
            </w:r>
          </w:p>
          <w:p w14:paraId="4B18AACE" w14:textId="77777777" w:rsidR="00A7722D" w:rsidRPr="00ED63A1" w:rsidRDefault="00A7722D" w:rsidP="00A7722D">
            <w:pPr>
              <w:pStyle w:val="ListParagraph"/>
              <w:numPr>
                <w:ilvl w:val="1"/>
                <w:numId w:val="30"/>
              </w:numPr>
              <w:spacing w:before="120" w:after="120"/>
              <w:contextualSpacing w:val="0"/>
            </w:pPr>
            <w:r w:rsidRPr="00ED63A1">
              <w:t>An outcome from these meetings should be a shared understanding of how the Parties will work together going forward, including, if necessary, revising relevant Terms of Reference to clarify procedures</w:t>
            </w:r>
            <w:r>
              <w:t>.</w:t>
            </w:r>
            <w:r w:rsidRPr="00ED63A1">
              <w:t xml:space="preserve">   </w:t>
            </w:r>
          </w:p>
          <w:p w14:paraId="0C5D780E" w14:textId="77777777" w:rsidR="00A7722D" w:rsidRPr="00ED63A1" w:rsidRDefault="00A7722D" w:rsidP="00A7722D">
            <w:pPr>
              <w:pStyle w:val="ListParagraph"/>
              <w:numPr>
                <w:ilvl w:val="1"/>
                <w:numId w:val="30"/>
              </w:numPr>
              <w:spacing w:before="120" w:after="120"/>
              <w:contextualSpacing w:val="0"/>
            </w:pPr>
            <w:r w:rsidRPr="00ED63A1">
              <w:t>Another outcome will be a shared understanding of key concepts, principles and structures of the Partnership Agreement.</w:t>
            </w:r>
          </w:p>
          <w:p w14:paraId="78D3750B" w14:textId="16F643B4" w:rsidR="00A7722D" w:rsidRPr="00ED63A1" w:rsidRDefault="006D16A1" w:rsidP="00A7722D">
            <w:pPr>
              <w:pStyle w:val="ListParagraph"/>
              <w:numPr>
                <w:ilvl w:val="0"/>
                <w:numId w:val="30"/>
              </w:numPr>
              <w:spacing w:before="120" w:after="120"/>
              <w:contextualSpacing w:val="0"/>
            </w:pPr>
            <w:r>
              <w:t xml:space="preserve">A Terms of Reference is </w:t>
            </w:r>
            <w:r w:rsidR="00D249FB">
              <w:t xml:space="preserve">to be </w:t>
            </w:r>
            <w:r>
              <w:t>developed for Drafting Group, setting out responsibilities and processes for resolving disagreements during the drafting process.</w:t>
            </w:r>
            <w:r w:rsidRPr="00ED63A1" w:rsidDel="006D16A1">
              <w:t xml:space="preserve"> </w:t>
            </w:r>
          </w:p>
          <w:p w14:paraId="633E1D88" w14:textId="21C91DFA" w:rsidR="00A7722D" w:rsidRPr="00ED63A1" w:rsidRDefault="00A7722D" w:rsidP="00A7722D">
            <w:pPr>
              <w:pStyle w:val="ListParagraph"/>
              <w:numPr>
                <w:ilvl w:val="0"/>
                <w:numId w:val="30"/>
              </w:numPr>
              <w:spacing w:before="120" w:after="120"/>
              <w:contextualSpacing w:val="0"/>
            </w:pPr>
            <w:r w:rsidRPr="00ED63A1">
              <w:t>Processes and procedures adopted for the National Partnership and National Agreement be adopted as good practice by all jurisdictions in developing their Implementation Plans, noting that individual jurisdictions need due flexibility to take into account different contexts and operating environments.</w:t>
            </w:r>
          </w:p>
          <w:p w14:paraId="60FFD208" w14:textId="00901062" w:rsidR="00A7722D" w:rsidRPr="00ED63A1" w:rsidRDefault="006D16A1" w:rsidP="006D16A1">
            <w:pPr>
              <w:pStyle w:val="ListParagraph"/>
              <w:numPr>
                <w:ilvl w:val="0"/>
                <w:numId w:val="30"/>
              </w:numPr>
              <w:spacing w:before="120" w:after="120"/>
              <w:contextualSpacing w:val="0"/>
            </w:pPr>
            <w:r>
              <w:t>Parties embed e</w:t>
            </w:r>
            <w:r w:rsidR="00A7722D" w:rsidRPr="00ED63A1">
              <w:t>ffective change management</w:t>
            </w:r>
            <w:r>
              <w:t xml:space="preserve"> processes,</w:t>
            </w:r>
            <w:r w:rsidR="00A7722D" w:rsidRPr="00ED63A1">
              <w:t xml:space="preserve"> involving knowledge-building and strengthened capability to support implementation. For example, ahead of joint development and delivery of Implementation Plans, the Coalition of Peaks and governments will ensure that their representatives are equipped with the necessary information about the Priority Reforms and other National Agreement commitments and understand how to work effectively under the new partnership arrangements.</w:t>
            </w:r>
          </w:p>
        </w:tc>
      </w:tr>
    </w:tbl>
    <w:p w14:paraId="3B254139" w14:textId="77777777" w:rsidR="00A7722D" w:rsidRPr="00CD4778" w:rsidRDefault="00A7722D" w:rsidP="00A7722D">
      <w:pPr>
        <w:rPr>
          <w:b/>
          <w:caps/>
          <w:sz w:val="32"/>
          <w:szCs w:val="32"/>
          <w:highlight w:val="yellow"/>
        </w:rPr>
        <w:sectPr w:rsidR="00A7722D" w:rsidRPr="00CD4778" w:rsidSect="00A7722D">
          <w:type w:val="continuous"/>
          <w:pgSz w:w="16838" w:h="11906" w:orient="landscape"/>
          <w:pgMar w:top="851" w:right="1559" w:bottom="851" w:left="1701" w:header="426" w:footer="57" w:gutter="0"/>
          <w:cols w:space="708"/>
          <w:titlePg/>
          <w:docGrid w:linePitch="360"/>
        </w:sectPr>
      </w:pPr>
    </w:p>
    <w:tbl>
      <w:tblPr>
        <w:tblStyle w:val="TableGrid"/>
        <w:tblW w:w="5000" w:type="pct"/>
        <w:tblLook w:val="04A0" w:firstRow="1" w:lastRow="0" w:firstColumn="1" w:lastColumn="0" w:noHBand="0" w:noVBand="1"/>
      </w:tblPr>
      <w:tblGrid>
        <w:gridCol w:w="3286"/>
        <w:gridCol w:w="1096"/>
        <w:gridCol w:w="9186"/>
      </w:tblGrid>
      <w:tr w:rsidR="00D337F3" w:rsidRPr="00BF7273" w14:paraId="13E57ED2" w14:textId="77777777" w:rsidTr="00DD0291">
        <w:trPr>
          <w:cantSplit/>
          <w:tblHeader/>
        </w:trPr>
        <w:tc>
          <w:tcPr>
            <w:tcW w:w="1211" w:type="pct"/>
            <w:shd w:val="clear" w:color="auto" w:fill="44546A"/>
          </w:tcPr>
          <w:p w14:paraId="1F43EE24" w14:textId="77777777" w:rsidR="00D337F3" w:rsidRPr="00BF7273" w:rsidRDefault="00D337F3" w:rsidP="00F63F50">
            <w:pPr>
              <w:spacing w:before="120" w:after="120"/>
              <w:rPr>
                <w:b/>
                <w:color w:val="FFFFFF" w:themeColor="background1"/>
              </w:rPr>
            </w:pPr>
            <w:bookmarkStart w:id="0" w:name="_GoBack" w:colFirst="0" w:colLast="2"/>
            <w:r w:rsidRPr="00BF7273">
              <w:rPr>
                <w:b/>
                <w:color w:val="FFFFFF" w:themeColor="background1"/>
              </w:rPr>
              <w:lastRenderedPageBreak/>
              <w:t>Risk</w:t>
            </w:r>
          </w:p>
        </w:tc>
        <w:tc>
          <w:tcPr>
            <w:tcW w:w="404" w:type="pct"/>
            <w:shd w:val="clear" w:color="auto" w:fill="44546A"/>
          </w:tcPr>
          <w:p w14:paraId="0C13AB08" w14:textId="77777777" w:rsidR="00D337F3" w:rsidRPr="00BF7273" w:rsidRDefault="00D337F3" w:rsidP="00F63F50">
            <w:pPr>
              <w:spacing w:before="120" w:after="120"/>
              <w:rPr>
                <w:b/>
                <w:color w:val="FFFFFF" w:themeColor="background1"/>
              </w:rPr>
            </w:pPr>
            <w:r w:rsidRPr="00BF7273">
              <w:rPr>
                <w:b/>
                <w:color w:val="FFFFFF" w:themeColor="background1"/>
              </w:rPr>
              <w:t>Rating</w:t>
            </w:r>
          </w:p>
        </w:tc>
        <w:tc>
          <w:tcPr>
            <w:tcW w:w="3385" w:type="pct"/>
            <w:shd w:val="clear" w:color="auto" w:fill="44546A"/>
          </w:tcPr>
          <w:p w14:paraId="6994FE1D" w14:textId="77777777" w:rsidR="00D337F3" w:rsidRPr="00BF7273" w:rsidRDefault="00D337F3" w:rsidP="00F63F50">
            <w:pPr>
              <w:spacing w:before="120" w:after="120"/>
              <w:rPr>
                <w:b/>
                <w:color w:val="FFFFFF" w:themeColor="background1"/>
              </w:rPr>
            </w:pPr>
            <w:r w:rsidRPr="00BF7273">
              <w:rPr>
                <w:b/>
                <w:color w:val="FFFFFF" w:themeColor="background1"/>
              </w:rPr>
              <w:t>Mitigation</w:t>
            </w:r>
          </w:p>
        </w:tc>
      </w:tr>
      <w:bookmarkEnd w:id="0"/>
      <w:tr w:rsidR="00D337F3" w:rsidRPr="00ED63A1" w14:paraId="77D18485" w14:textId="77777777" w:rsidTr="00F63F50">
        <w:trPr>
          <w:cantSplit/>
          <w:trHeight w:val="3531"/>
        </w:trPr>
        <w:tc>
          <w:tcPr>
            <w:tcW w:w="1211" w:type="pct"/>
            <w:tcBorders>
              <w:top w:val="single" w:sz="4" w:space="0" w:color="auto"/>
            </w:tcBorders>
          </w:tcPr>
          <w:p w14:paraId="663F016C" w14:textId="77777777" w:rsidR="00D337F3" w:rsidRPr="00ED63A1" w:rsidRDefault="00D337F3" w:rsidP="00F63F50">
            <w:pPr>
              <w:spacing w:before="120" w:after="120"/>
            </w:pPr>
            <w:r w:rsidRPr="00ED63A1">
              <w:t>B</w:t>
            </w:r>
          </w:p>
          <w:p w14:paraId="1A2682D9" w14:textId="77777777" w:rsidR="00D337F3" w:rsidRPr="00ED63A1" w:rsidRDefault="00D337F3" w:rsidP="00F63F50">
            <w:pPr>
              <w:spacing w:before="120" w:after="120"/>
            </w:pPr>
            <w:r w:rsidRPr="00ED63A1">
              <w:t>The volume, scope and nature of the work going forward is likely to put pressure on resources, timeframes and key individuals.</w:t>
            </w:r>
          </w:p>
          <w:p w14:paraId="527686EA" w14:textId="77777777" w:rsidR="00D337F3" w:rsidRPr="00ED63A1" w:rsidRDefault="00D337F3" w:rsidP="00F63F50">
            <w:pPr>
              <w:spacing w:before="120" w:after="120"/>
            </w:pPr>
            <w:r w:rsidRPr="00ED63A1">
              <w:t>Each of these processes will also involve points of difference and these have the potential to affect relationships within the Partnership</w:t>
            </w:r>
            <w:r>
              <w:t>.</w:t>
            </w:r>
          </w:p>
        </w:tc>
        <w:tc>
          <w:tcPr>
            <w:tcW w:w="404" w:type="pct"/>
          </w:tcPr>
          <w:p w14:paraId="28228ECF" w14:textId="77777777" w:rsidR="00D337F3" w:rsidRPr="00ED63A1" w:rsidRDefault="00D337F3" w:rsidP="00F63F50">
            <w:pPr>
              <w:spacing w:before="120" w:after="120"/>
            </w:pPr>
            <w:r w:rsidRPr="00ED63A1">
              <w:t>High</w:t>
            </w:r>
          </w:p>
        </w:tc>
        <w:tc>
          <w:tcPr>
            <w:tcW w:w="3385" w:type="pct"/>
          </w:tcPr>
          <w:p w14:paraId="50CD5FD5" w14:textId="7E5A250D" w:rsidR="00D337F3" w:rsidRPr="00ED63A1" w:rsidRDefault="006D16A1" w:rsidP="00D337F3">
            <w:pPr>
              <w:pStyle w:val="ListParagraph"/>
              <w:numPr>
                <w:ilvl w:val="0"/>
                <w:numId w:val="30"/>
              </w:numPr>
              <w:spacing w:before="120" w:after="120"/>
              <w:contextualSpacing w:val="0"/>
            </w:pPr>
            <w:r>
              <w:t xml:space="preserve">PWG forward work plans to be reviewed at each meeting and Joint Council forward </w:t>
            </w:r>
            <w:r w:rsidR="00D249FB">
              <w:t>work plans to b</w:t>
            </w:r>
            <w:r>
              <w:t>e reviewed annually. Work plans will be developed in partnership, with a focus on pur</w:t>
            </w:r>
            <w:r w:rsidR="00D249FB">
              <w:t>su</w:t>
            </w:r>
            <w:r>
              <w:t>ing strategically imperative projects, whilst balancing workload</w:t>
            </w:r>
            <w:r w:rsidR="00D249FB">
              <w:t>s</w:t>
            </w:r>
            <w:r>
              <w:t xml:space="preserve"> and opportunities for Parties as to not </w:t>
            </w:r>
            <w:r w:rsidR="00D337F3" w:rsidRPr="00ED63A1">
              <w:t>impact on the delivery of commitments under the National Agreement. This may include looking for ways to share workloads and draw on additional resources from across their agencies or member organisations.</w:t>
            </w:r>
          </w:p>
          <w:p w14:paraId="71E256E7" w14:textId="634C6ECA" w:rsidR="00D337F3" w:rsidRPr="00ED63A1" w:rsidRDefault="00D337F3" w:rsidP="00D337F3">
            <w:pPr>
              <w:pStyle w:val="ListParagraph"/>
              <w:numPr>
                <w:ilvl w:val="0"/>
                <w:numId w:val="30"/>
              </w:numPr>
              <w:spacing w:before="120" w:after="120"/>
              <w:contextualSpacing w:val="0"/>
            </w:pPr>
            <w:r w:rsidRPr="00ED63A1">
              <w:t>Joint Council meeting dates to be determined in discussions between the Co-chairs and a schedule of meetings for the following year (times, dates and venues) agreed at the last meeting of the previous year.</w:t>
            </w:r>
            <w:r w:rsidR="004E2293">
              <w:t xml:space="preserve"> At each PWG meeting, co-chairs will confirm the dates and venues for at least the next two meetings.</w:t>
            </w:r>
          </w:p>
          <w:p w14:paraId="132CC4AC" w14:textId="77777777" w:rsidR="00D337F3" w:rsidRPr="00ED63A1" w:rsidRDefault="00D337F3" w:rsidP="00D337F3">
            <w:pPr>
              <w:pStyle w:val="ListParagraph"/>
              <w:numPr>
                <w:ilvl w:val="0"/>
                <w:numId w:val="30"/>
              </w:numPr>
              <w:spacing w:before="120" w:after="120"/>
              <w:contextualSpacing w:val="0"/>
            </w:pPr>
            <w:r w:rsidRPr="00ED63A1">
              <w:t>The process for agreeing agendas to be clearly set out in updated terms of reference for Joint Council, PWG and Drafting Group</w:t>
            </w:r>
            <w:r>
              <w:t>.</w:t>
            </w:r>
          </w:p>
          <w:p w14:paraId="3781AB90" w14:textId="6C5B30C9" w:rsidR="00D337F3" w:rsidRPr="00ED63A1" w:rsidRDefault="00D337F3" w:rsidP="00D337F3">
            <w:pPr>
              <w:pStyle w:val="ListParagraph"/>
              <w:numPr>
                <w:ilvl w:val="0"/>
                <w:numId w:val="30"/>
              </w:numPr>
              <w:spacing w:before="120" w:after="120"/>
              <w:contextualSpacing w:val="0"/>
            </w:pPr>
            <w:r w:rsidRPr="00ED63A1">
              <w:t xml:space="preserve">Papers to be distributed well in advance of meetings </w:t>
            </w:r>
            <w:r w:rsidR="004E2293">
              <w:t xml:space="preserve">to enable </w:t>
            </w:r>
            <w:r w:rsidRPr="00ED63A1">
              <w:t xml:space="preserve">all parties </w:t>
            </w:r>
            <w:r w:rsidR="004E2293">
              <w:t xml:space="preserve">appropriate </w:t>
            </w:r>
            <w:r w:rsidRPr="00ED63A1">
              <w:t xml:space="preserve">time to </w:t>
            </w:r>
            <w:r w:rsidR="004E2293">
              <w:t xml:space="preserve">consult with </w:t>
            </w:r>
            <w:r w:rsidRPr="00ED63A1">
              <w:t>members/line agencies</w:t>
            </w:r>
            <w:r w:rsidR="004E2293">
              <w:t>, identify challenges and opportunities, deliberate</w:t>
            </w:r>
            <w:r w:rsidR="00D249FB">
              <w:t>,</w:t>
            </w:r>
            <w:r w:rsidR="004E2293">
              <w:t xml:space="preserve"> determine a position, and provide constructive feedback</w:t>
            </w:r>
            <w:r w:rsidRPr="00ED63A1">
              <w:t>.</w:t>
            </w:r>
          </w:p>
          <w:p w14:paraId="049F8C2E" w14:textId="77777777" w:rsidR="00D337F3" w:rsidRPr="00ED63A1" w:rsidRDefault="00D337F3" w:rsidP="00D337F3">
            <w:pPr>
              <w:pStyle w:val="ListParagraph"/>
              <w:numPr>
                <w:ilvl w:val="0"/>
                <w:numId w:val="30"/>
              </w:numPr>
              <w:spacing w:before="120" w:after="120"/>
              <w:contextualSpacing w:val="0"/>
            </w:pPr>
            <w:r w:rsidRPr="00ED63A1">
              <w:t>Examples of good practice to be voluntarily shared among the Parties, including at PWG meetings.</w:t>
            </w:r>
          </w:p>
        </w:tc>
      </w:tr>
      <w:tr w:rsidR="00D337F3" w:rsidRPr="00ED63A1" w14:paraId="7A4A029A" w14:textId="77777777" w:rsidTr="00F63F50">
        <w:trPr>
          <w:cantSplit/>
          <w:trHeight w:val="1880"/>
        </w:trPr>
        <w:tc>
          <w:tcPr>
            <w:tcW w:w="1211" w:type="pct"/>
          </w:tcPr>
          <w:p w14:paraId="3BD5CAEB" w14:textId="77777777" w:rsidR="00D337F3" w:rsidRPr="00ED63A1" w:rsidRDefault="00D337F3" w:rsidP="00F63F50">
            <w:pPr>
              <w:spacing w:before="120" w:after="120"/>
            </w:pPr>
            <w:r w:rsidRPr="00ED63A1">
              <w:t>C</w:t>
            </w:r>
          </w:p>
          <w:p w14:paraId="13D662BB" w14:textId="77777777" w:rsidR="00D337F3" w:rsidRPr="00ED63A1" w:rsidRDefault="00D337F3" w:rsidP="00F63F50">
            <w:pPr>
              <w:spacing w:before="120" w:after="120"/>
            </w:pPr>
            <w:r w:rsidRPr="00ED63A1">
              <w:t>Aboriginal and Torres Strait Islander communities and their organisations do not ‘buy-in’ to the Closing the Gap agenda</w:t>
            </w:r>
            <w:r>
              <w:t>.</w:t>
            </w:r>
          </w:p>
        </w:tc>
        <w:tc>
          <w:tcPr>
            <w:tcW w:w="404" w:type="pct"/>
          </w:tcPr>
          <w:p w14:paraId="22964CBE" w14:textId="77777777" w:rsidR="00D337F3" w:rsidRPr="00ED63A1" w:rsidRDefault="00D337F3" w:rsidP="00F63F50">
            <w:pPr>
              <w:spacing w:before="120" w:after="120"/>
            </w:pPr>
            <w:r w:rsidRPr="00ED63A1">
              <w:t>High</w:t>
            </w:r>
          </w:p>
        </w:tc>
        <w:tc>
          <w:tcPr>
            <w:tcW w:w="3385" w:type="pct"/>
          </w:tcPr>
          <w:p w14:paraId="7B0AE053" w14:textId="1618BF4C" w:rsidR="00D337F3" w:rsidRPr="00ED63A1" w:rsidRDefault="00D337F3" w:rsidP="00D337F3">
            <w:pPr>
              <w:pStyle w:val="ListParagraph"/>
              <w:numPr>
                <w:ilvl w:val="0"/>
                <w:numId w:val="30"/>
              </w:numPr>
              <w:spacing w:before="120" w:after="120"/>
              <w:contextualSpacing w:val="0"/>
            </w:pPr>
            <w:r w:rsidRPr="00ED63A1">
              <w:t xml:space="preserve">The Joint Communication Strategy in the National Agreement </w:t>
            </w:r>
            <w:r w:rsidR="004E2293">
              <w:t xml:space="preserve">to </w:t>
            </w:r>
            <w:r w:rsidRPr="00ED63A1">
              <w:t xml:space="preserve">be drafted </w:t>
            </w:r>
            <w:r w:rsidR="004E2293">
              <w:t xml:space="preserve">with a focus on </w:t>
            </w:r>
            <w:r w:rsidR="00CD5CC1">
              <w:t xml:space="preserve">clearly communicating </w:t>
            </w:r>
            <w:r w:rsidRPr="00ED63A1">
              <w:t xml:space="preserve">progress </w:t>
            </w:r>
            <w:r w:rsidR="00CD5CC1">
              <w:t>against the Priority Reforms and socio-economic targets in the National Agreement.</w:t>
            </w:r>
          </w:p>
          <w:p w14:paraId="5404CDBB" w14:textId="78770087" w:rsidR="00D337F3" w:rsidRPr="00DD0291" w:rsidRDefault="00D337F3" w:rsidP="00392123">
            <w:pPr>
              <w:pStyle w:val="ListParagraph"/>
              <w:numPr>
                <w:ilvl w:val="0"/>
                <w:numId w:val="30"/>
              </w:numPr>
              <w:spacing w:before="120" w:after="120"/>
              <w:contextualSpacing w:val="0"/>
            </w:pPr>
            <w:r w:rsidRPr="00ED63A1">
              <w:t>Publication of the annual Health Check reports and Risk Registers and the Parties’ responses to them on the Closing the Gap website.</w:t>
            </w:r>
          </w:p>
        </w:tc>
      </w:tr>
      <w:tr w:rsidR="00D337F3" w:rsidRPr="00ED63A1" w14:paraId="216AF947" w14:textId="77777777" w:rsidTr="00F63F50">
        <w:trPr>
          <w:cantSplit/>
          <w:trHeight w:val="6761"/>
        </w:trPr>
        <w:tc>
          <w:tcPr>
            <w:tcW w:w="1211" w:type="pct"/>
          </w:tcPr>
          <w:p w14:paraId="0452C6A9" w14:textId="77777777" w:rsidR="00D337F3" w:rsidRPr="00ED63A1" w:rsidRDefault="00D337F3" w:rsidP="00F63F50">
            <w:pPr>
              <w:spacing w:before="120" w:after="120"/>
            </w:pPr>
            <w:r w:rsidRPr="00ED63A1">
              <w:lastRenderedPageBreak/>
              <w:t>D</w:t>
            </w:r>
          </w:p>
          <w:p w14:paraId="769BE67B" w14:textId="77777777" w:rsidR="00D337F3" w:rsidRPr="00ED63A1" w:rsidRDefault="00D337F3" w:rsidP="00F63F50">
            <w:pPr>
              <w:spacing w:before="120" w:after="120"/>
            </w:pPr>
            <w:r w:rsidRPr="00ED63A1">
              <w:t>Governments fail to commit the resources or effort required to properly implement the spirit and intent of the National Agreement</w:t>
            </w:r>
            <w:r>
              <w:t>.</w:t>
            </w:r>
          </w:p>
          <w:p w14:paraId="55E5F983" w14:textId="77777777" w:rsidR="00D337F3" w:rsidRPr="00ED63A1" w:rsidRDefault="00D337F3" w:rsidP="00D337F3">
            <w:pPr>
              <w:pStyle w:val="ListParagraph"/>
              <w:numPr>
                <w:ilvl w:val="0"/>
                <w:numId w:val="31"/>
              </w:numPr>
              <w:spacing w:before="120" w:after="120"/>
              <w:contextualSpacing w:val="0"/>
            </w:pPr>
            <w:r w:rsidRPr="00ED63A1">
              <w:t>Peaks do not have resources to properly engage in the implementation planning process –and are swamped by over-whelming demands</w:t>
            </w:r>
          </w:p>
          <w:p w14:paraId="72A2081A" w14:textId="77777777" w:rsidR="00D337F3" w:rsidRPr="00ED63A1" w:rsidRDefault="00D337F3" w:rsidP="00D337F3">
            <w:pPr>
              <w:pStyle w:val="ListParagraph"/>
              <w:numPr>
                <w:ilvl w:val="0"/>
                <w:numId w:val="31"/>
              </w:numPr>
              <w:spacing w:before="120" w:after="120"/>
              <w:contextualSpacing w:val="0"/>
            </w:pPr>
            <w:r w:rsidRPr="00ED63A1">
              <w:t>Slippage due to lack of resolve and resources</w:t>
            </w:r>
          </w:p>
          <w:p w14:paraId="4D1DD4C4" w14:textId="77777777" w:rsidR="00D337F3" w:rsidRPr="00ED63A1" w:rsidRDefault="00D337F3" w:rsidP="00D337F3">
            <w:pPr>
              <w:pStyle w:val="ListParagraph"/>
              <w:numPr>
                <w:ilvl w:val="0"/>
                <w:numId w:val="31"/>
              </w:numPr>
              <w:spacing w:before="120" w:after="120"/>
              <w:contextualSpacing w:val="0"/>
            </w:pPr>
            <w:r w:rsidRPr="00ED63A1">
              <w:t>The momentum is not maintained and in five years the focus on implementation and action will have waned</w:t>
            </w:r>
          </w:p>
          <w:p w14:paraId="0C783ED8" w14:textId="77777777" w:rsidR="00D337F3" w:rsidRPr="00ED63A1" w:rsidRDefault="00D337F3" w:rsidP="00D337F3">
            <w:pPr>
              <w:pStyle w:val="ListParagraph"/>
              <w:numPr>
                <w:ilvl w:val="0"/>
                <w:numId w:val="31"/>
              </w:numPr>
              <w:spacing w:before="120" w:after="120"/>
              <w:contextualSpacing w:val="0"/>
            </w:pPr>
            <w:r w:rsidRPr="00ED63A1">
              <w:t>Changes to key personnel</w:t>
            </w:r>
          </w:p>
          <w:p w14:paraId="7C0F9D90" w14:textId="77777777" w:rsidR="00D337F3" w:rsidRPr="00ED63A1" w:rsidRDefault="00D337F3" w:rsidP="00D337F3">
            <w:pPr>
              <w:pStyle w:val="ListParagraph"/>
              <w:numPr>
                <w:ilvl w:val="1"/>
                <w:numId w:val="31"/>
              </w:numPr>
              <w:spacing w:before="120" w:after="120"/>
              <w:ind w:left="596" w:hanging="283"/>
              <w:contextualSpacing w:val="0"/>
            </w:pPr>
            <w:r w:rsidRPr="00ED63A1">
              <w:t>Government Parties</w:t>
            </w:r>
          </w:p>
          <w:p w14:paraId="7E1C86E2" w14:textId="77777777" w:rsidR="00D337F3" w:rsidRPr="00ED63A1" w:rsidRDefault="00D337F3" w:rsidP="00D337F3">
            <w:pPr>
              <w:pStyle w:val="ListParagraph"/>
              <w:numPr>
                <w:ilvl w:val="1"/>
                <w:numId w:val="31"/>
              </w:numPr>
              <w:spacing w:before="120" w:after="120"/>
              <w:ind w:left="596" w:hanging="283"/>
              <w:contextualSpacing w:val="0"/>
            </w:pPr>
            <w:r w:rsidRPr="00ED63A1">
              <w:t>Coalition of Peaks</w:t>
            </w:r>
          </w:p>
          <w:p w14:paraId="276F89C2" w14:textId="77777777" w:rsidR="00D337F3" w:rsidRPr="00ED63A1" w:rsidRDefault="00D337F3" w:rsidP="00D337F3">
            <w:pPr>
              <w:pStyle w:val="ListParagraph"/>
              <w:numPr>
                <w:ilvl w:val="1"/>
                <w:numId w:val="31"/>
              </w:numPr>
              <w:spacing w:before="120" w:after="120"/>
              <w:ind w:left="596" w:hanging="283"/>
              <w:contextualSpacing w:val="0"/>
            </w:pPr>
            <w:r w:rsidRPr="00ED63A1">
              <w:t>Individual Peaks and community-controlled sector</w:t>
            </w:r>
            <w:r>
              <w:t>.</w:t>
            </w:r>
          </w:p>
        </w:tc>
        <w:tc>
          <w:tcPr>
            <w:tcW w:w="404" w:type="pct"/>
          </w:tcPr>
          <w:p w14:paraId="7D04A27A" w14:textId="77777777" w:rsidR="00D337F3" w:rsidRPr="00ED63A1" w:rsidRDefault="00D337F3" w:rsidP="00F63F50">
            <w:pPr>
              <w:spacing w:before="120" w:after="120"/>
            </w:pPr>
            <w:r w:rsidRPr="00ED63A1">
              <w:t>Medium</w:t>
            </w:r>
          </w:p>
        </w:tc>
        <w:tc>
          <w:tcPr>
            <w:tcW w:w="3385" w:type="pct"/>
          </w:tcPr>
          <w:p w14:paraId="35DA1BB5" w14:textId="49D317D1" w:rsidR="00D337F3" w:rsidRPr="00ED63A1" w:rsidRDefault="00D337F3" w:rsidP="00D337F3">
            <w:pPr>
              <w:pStyle w:val="ListParagraph"/>
              <w:numPr>
                <w:ilvl w:val="0"/>
                <w:numId w:val="30"/>
              </w:numPr>
              <w:spacing w:before="120" w:after="120"/>
              <w:contextualSpacing w:val="0"/>
            </w:pPr>
            <w:r w:rsidRPr="00ED63A1">
              <w:t xml:space="preserve">Jurisdictions </w:t>
            </w:r>
            <w:r w:rsidR="00392123">
              <w:t>to regularly consult with their jurisdictional Peak on resourcing requirements to ensure effective partnership and shared decision-making</w:t>
            </w:r>
            <w:r w:rsidRPr="00ED63A1">
              <w:t xml:space="preserve">. </w:t>
            </w:r>
            <w:r w:rsidR="00392123">
              <w:t>Adequate r</w:t>
            </w:r>
            <w:r w:rsidRPr="00ED63A1">
              <w:t xml:space="preserve">esourcing </w:t>
            </w:r>
            <w:r w:rsidR="00392123">
              <w:t xml:space="preserve">and capacity </w:t>
            </w:r>
            <w:r w:rsidRPr="00ED63A1">
              <w:t>is critical so that Peaks can engage and negotiate as equal partners within the formal Partnership Agreement.</w:t>
            </w:r>
          </w:p>
          <w:p w14:paraId="0B65AC20" w14:textId="45C1D4AA" w:rsidR="00D337F3" w:rsidRPr="00ED63A1" w:rsidRDefault="00D337F3" w:rsidP="00D337F3">
            <w:pPr>
              <w:pStyle w:val="ListParagraph"/>
              <w:numPr>
                <w:ilvl w:val="0"/>
                <w:numId w:val="30"/>
              </w:numPr>
              <w:spacing w:before="120" w:after="120"/>
              <w:contextualSpacing w:val="0"/>
            </w:pPr>
            <w:r w:rsidRPr="00ED63A1">
              <w:t xml:space="preserve">Jurisdictions </w:t>
            </w:r>
            <w:r w:rsidR="00D249FB">
              <w:t xml:space="preserve">to </w:t>
            </w:r>
            <w:r w:rsidR="00392123">
              <w:t xml:space="preserve">regularly look for opportunities to promote </w:t>
            </w:r>
            <w:r w:rsidRPr="00ED63A1">
              <w:t xml:space="preserve">cultural change </w:t>
            </w:r>
            <w:r w:rsidR="00392123">
              <w:t xml:space="preserve">of government </w:t>
            </w:r>
            <w:r w:rsidRPr="00ED63A1">
              <w:t>institutions</w:t>
            </w:r>
            <w:r w:rsidR="00392123">
              <w:t xml:space="preserve">, including policy development, engagement, decision-making and service delivery </w:t>
            </w:r>
            <w:r w:rsidR="00D249FB">
              <w:t>agencies and structures</w:t>
            </w:r>
            <w:r w:rsidRPr="00ED63A1">
              <w:t>. Governments will address how they are undertaking this change management process in their annual reports</w:t>
            </w:r>
            <w:r w:rsidR="00D249FB">
              <w:t xml:space="preserve"> and through reporting to Joint Council</w:t>
            </w:r>
            <w:r w:rsidRPr="00ED63A1">
              <w:t xml:space="preserve">. </w:t>
            </w:r>
          </w:p>
          <w:p w14:paraId="5688F209" w14:textId="38084FBB" w:rsidR="00D337F3" w:rsidRPr="00ED63A1" w:rsidRDefault="00D337F3" w:rsidP="00D337F3">
            <w:pPr>
              <w:pStyle w:val="ListParagraph"/>
              <w:numPr>
                <w:ilvl w:val="0"/>
                <w:numId w:val="30"/>
              </w:numPr>
              <w:spacing w:before="120" w:after="120"/>
              <w:contextualSpacing w:val="0"/>
            </w:pPr>
            <w:r w:rsidRPr="00ED63A1">
              <w:t xml:space="preserve">Jurisdictions </w:t>
            </w:r>
            <w:r w:rsidR="00D249FB">
              <w:t xml:space="preserve">to </w:t>
            </w:r>
            <w:r w:rsidRPr="00ED63A1">
              <w:t>mitigate the impact of changes in key personnel by deeply embedding the principles of the National Agreement across the whole-of-government.</w:t>
            </w:r>
          </w:p>
          <w:p w14:paraId="5EBA15C4" w14:textId="1A52DA7C" w:rsidR="00D337F3" w:rsidRPr="00ED63A1" w:rsidRDefault="00D337F3" w:rsidP="00D337F3">
            <w:pPr>
              <w:pStyle w:val="ListParagraph"/>
              <w:numPr>
                <w:ilvl w:val="0"/>
                <w:numId w:val="30"/>
              </w:numPr>
              <w:spacing w:before="120" w:after="120"/>
              <w:contextualSpacing w:val="0"/>
            </w:pPr>
            <w:r w:rsidRPr="00ED63A1">
              <w:t xml:space="preserve">Peaks </w:t>
            </w:r>
            <w:r w:rsidR="00D249FB">
              <w:t xml:space="preserve">to review succession planning procedures to </w:t>
            </w:r>
            <w:r w:rsidRPr="00ED63A1">
              <w:t xml:space="preserve">ensure essential corporate knowledge is not lost. Governments </w:t>
            </w:r>
            <w:r w:rsidR="00D249FB">
              <w:t xml:space="preserve">Parties </w:t>
            </w:r>
            <w:r w:rsidRPr="00ED63A1">
              <w:t>are encouraged to include succession planning in their implementation plans.</w:t>
            </w:r>
          </w:p>
          <w:p w14:paraId="23E1D985" w14:textId="7794944B" w:rsidR="00D337F3" w:rsidRPr="00ED63A1" w:rsidRDefault="00D337F3" w:rsidP="00D337F3">
            <w:pPr>
              <w:pStyle w:val="ListParagraph"/>
              <w:numPr>
                <w:ilvl w:val="0"/>
                <w:numId w:val="30"/>
              </w:numPr>
              <w:spacing w:before="120" w:after="120"/>
              <w:contextualSpacing w:val="0"/>
            </w:pPr>
            <w:r w:rsidRPr="00ED63A1">
              <w:t xml:space="preserve">Annual Partnership Health Check discussions should specifically test momentum and include activities to maintain shared understanding and resolve, especially given the lessons learned from the Partnership Working Group on Closing the Gap review of the 2008 NIRA which found that loss of momentum over time contributed to aspects of policy and program failure for initiatives linked to the Closing the Gap building blocks. </w:t>
            </w:r>
          </w:p>
          <w:p w14:paraId="2A628A93" w14:textId="77777777" w:rsidR="00D337F3" w:rsidRPr="00ED63A1" w:rsidRDefault="00D337F3" w:rsidP="00D337F3">
            <w:pPr>
              <w:pStyle w:val="ListParagraph"/>
              <w:numPr>
                <w:ilvl w:val="0"/>
                <w:numId w:val="30"/>
              </w:numPr>
              <w:spacing w:before="120" w:after="120"/>
              <w:contextualSpacing w:val="0"/>
            </w:pPr>
            <w:r w:rsidRPr="00ED63A1">
              <w:t>Accountability mechanisms within the National Agreement (three yearly Productivity Commission and Aboriginal and Torres Strait Islander led reviews) will contribute to an assessment as to whether governments have committed the resources and effort required to achieve real change.</w:t>
            </w:r>
          </w:p>
        </w:tc>
      </w:tr>
      <w:tr w:rsidR="00D337F3" w:rsidRPr="00ED63A1" w14:paraId="18625A94" w14:textId="77777777" w:rsidTr="00F63F50">
        <w:trPr>
          <w:cantSplit/>
          <w:trHeight w:val="5958"/>
        </w:trPr>
        <w:tc>
          <w:tcPr>
            <w:tcW w:w="1211" w:type="pct"/>
          </w:tcPr>
          <w:p w14:paraId="1FE9E466" w14:textId="77777777" w:rsidR="00D337F3" w:rsidRPr="00ED63A1" w:rsidRDefault="00D337F3" w:rsidP="00F63F50">
            <w:pPr>
              <w:spacing w:before="120" w:after="120"/>
            </w:pPr>
            <w:r w:rsidRPr="00ED63A1">
              <w:lastRenderedPageBreak/>
              <w:t>E</w:t>
            </w:r>
          </w:p>
          <w:p w14:paraId="6AEBDB18" w14:textId="77777777" w:rsidR="00D337F3" w:rsidRPr="00ED63A1" w:rsidRDefault="00D337F3" w:rsidP="00F63F50">
            <w:pPr>
              <w:spacing w:before="120" w:after="120"/>
            </w:pPr>
            <w:r w:rsidRPr="00ED63A1">
              <w:t>Continuity of the Partnership Partners over the life of the Agreement is interrupted</w:t>
            </w:r>
            <w:r>
              <w:t>.</w:t>
            </w:r>
          </w:p>
          <w:p w14:paraId="754110D7" w14:textId="77777777" w:rsidR="00D337F3" w:rsidRPr="00ED63A1" w:rsidRDefault="00D337F3" w:rsidP="00D337F3">
            <w:pPr>
              <w:pStyle w:val="ListParagraph"/>
              <w:numPr>
                <w:ilvl w:val="0"/>
                <w:numId w:val="31"/>
              </w:numPr>
              <w:spacing w:before="120" w:after="120"/>
              <w:contextualSpacing w:val="0"/>
            </w:pPr>
            <w:r w:rsidRPr="00ED63A1">
              <w:t>The Coalition of Peaks does not continue for the life of the National Agreement</w:t>
            </w:r>
            <w:r>
              <w:t>.</w:t>
            </w:r>
          </w:p>
          <w:p w14:paraId="5C300250" w14:textId="77777777" w:rsidR="00D337F3" w:rsidRPr="00ED63A1" w:rsidRDefault="00D337F3" w:rsidP="00D337F3">
            <w:pPr>
              <w:pStyle w:val="ListParagraph"/>
              <w:numPr>
                <w:ilvl w:val="0"/>
                <w:numId w:val="31"/>
              </w:numPr>
              <w:spacing w:before="120" w:after="120"/>
              <w:contextualSpacing w:val="0"/>
            </w:pPr>
            <w:r w:rsidRPr="00ED63A1">
              <w:t>Federal intergovernmental arrangements are changed during this period</w:t>
            </w:r>
            <w:r>
              <w:t>.</w:t>
            </w:r>
          </w:p>
        </w:tc>
        <w:tc>
          <w:tcPr>
            <w:tcW w:w="404" w:type="pct"/>
          </w:tcPr>
          <w:p w14:paraId="38D59ACB" w14:textId="77777777" w:rsidR="00D337F3" w:rsidRPr="00ED63A1" w:rsidRDefault="00D337F3" w:rsidP="00F63F50">
            <w:pPr>
              <w:spacing w:before="120" w:after="120"/>
            </w:pPr>
            <w:r w:rsidRPr="00ED63A1">
              <w:t>Low</w:t>
            </w:r>
          </w:p>
        </w:tc>
        <w:tc>
          <w:tcPr>
            <w:tcW w:w="3385" w:type="pct"/>
          </w:tcPr>
          <w:p w14:paraId="75A02E84" w14:textId="77777777" w:rsidR="00D337F3" w:rsidRPr="00ED63A1" w:rsidRDefault="00D337F3" w:rsidP="00D337F3">
            <w:pPr>
              <w:pStyle w:val="ListParagraph"/>
              <w:numPr>
                <w:ilvl w:val="0"/>
                <w:numId w:val="30"/>
              </w:numPr>
              <w:spacing w:before="120" w:after="120"/>
              <w:contextualSpacing w:val="0"/>
            </w:pPr>
            <w:r w:rsidRPr="00ED63A1">
              <w:t>The Coalition of Peaks has a strong membership base and an effective Secretariat. Although hosted by NACCHO, it has asserted its separate identity through its own website, IT system and naming conventions. Its independence could be strengthened by incorporating as a separate legal entity and having its own office.</w:t>
            </w:r>
          </w:p>
          <w:p w14:paraId="1D2576D1" w14:textId="1A0A0BDE" w:rsidR="00D337F3" w:rsidRPr="00ED63A1" w:rsidRDefault="00D337F3" w:rsidP="00D337F3">
            <w:pPr>
              <w:pStyle w:val="ListParagraph"/>
              <w:numPr>
                <w:ilvl w:val="0"/>
                <w:numId w:val="30"/>
              </w:numPr>
              <w:spacing w:before="120" w:after="120"/>
              <w:contextualSpacing w:val="0"/>
            </w:pPr>
            <w:r w:rsidRPr="00ED63A1">
              <w:t xml:space="preserve">The Commonwealth </w:t>
            </w:r>
            <w:r w:rsidR="00D249FB">
              <w:t xml:space="preserve">to </w:t>
            </w:r>
            <w:r w:rsidRPr="00ED63A1">
              <w:t>review its funding agreement with the Coalition of Peaks, including whether the funding can be better targeted or amended to ensure it meets emerging needs over time. The Peaks will alert the Commonwealth where established funding is not sufficient to meet its purposes in the light of changing circumstances.</w:t>
            </w:r>
          </w:p>
          <w:p w14:paraId="414BE2F4" w14:textId="15F0C7AE" w:rsidR="00D337F3" w:rsidRPr="00ED63A1" w:rsidRDefault="00D337F3" w:rsidP="00D337F3">
            <w:pPr>
              <w:pStyle w:val="ListParagraph"/>
              <w:numPr>
                <w:ilvl w:val="0"/>
                <w:numId w:val="30"/>
              </w:numPr>
              <w:spacing w:before="120" w:after="120"/>
              <w:contextualSpacing w:val="0"/>
            </w:pPr>
            <w:r w:rsidRPr="00ED63A1">
              <w:t>Alignment between the Partnership Agreement and the National Agreement on Closing the Gap</w:t>
            </w:r>
            <w:r w:rsidR="00C74753">
              <w:t xml:space="preserve"> is important. </w:t>
            </w:r>
            <w:r w:rsidRPr="00ED63A1">
              <w:t>An adjustment to the Partnership Agreement is required to reflect the changed arrangements from the Council of Australian Governments (COAG) to the National Federation Reform Council that have occurred since the Partnership Agreement was si</w:t>
            </w:r>
            <w:r w:rsidR="00C74753">
              <w:t xml:space="preserve">gned. </w:t>
            </w:r>
            <w:r w:rsidRPr="00ED63A1">
              <w:t>This (and other minor revisions) will be rectified at the formal Partnership Agreement review in 20</w:t>
            </w:r>
            <w:r w:rsidR="00C74753">
              <w:t xml:space="preserve">22. </w:t>
            </w:r>
            <w:r w:rsidRPr="00ED63A1">
              <w:t>In the meantime all terms of reference for governance committees to the National Agreement will be updated to reflect these and any other changes agreed by Joint Council</w:t>
            </w:r>
            <w:r w:rsidR="00C74753">
              <w:t>.</w:t>
            </w:r>
          </w:p>
          <w:p w14:paraId="174E78DE" w14:textId="77777777" w:rsidR="00D337F3" w:rsidRPr="00ED63A1" w:rsidRDefault="00D337F3" w:rsidP="00D337F3">
            <w:pPr>
              <w:pStyle w:val="ListParagraph"/>
              <w:numPr>
                <w:ilvl w:val="0"/>
                <w:numId w:val="30"/>
              </w:numPr>
              <w:spacing w:before="120" w:after="120"/>
              <w:contextualSpacing w:val="0"/>
            </w:pPr>
            <w:r w:rsidRPr="00ED63A1">
              <w:t>Governments have committed to the Partnership Agreement until 2029 while the National Agreement is open-ended. This recognises that enduring partnerships will be critical to resetting relationships and achieving the significant outcomes for Aboriginal and Torres Strait Islander peoples committed to under these Agreements.</w:t>
            </w:r>
          </w:p>
          <w:p w14:paraId="387FA867" w14:textId="77777777" w:rsidR="00D337F3" w:rsidRPr="00ED63A1" w:rsidRDefault="00D337F3" w:rsidP="00D337F3">
            <w:pPr>
              <w:pStyle w:val="ListParagraph"/>
              <w:numPr>
                <w:ilvl w:val="0"/>
                <w:numId w:val="30"/>
              </w:numPr>
              <w:spacing w:before="120" w:after="120"/>
              <w:contextualSpacing w:val="0"/>
            </w:pPr>
            <w:r w:rsidRPr="00ED63A1">
              <w:t>The accountability and review mechanisms under the National Agreements provide opportunities to identify and address any weaknesses or opportunities for strengthening the Partnership.</w:t>
            </w:r>
          </w:p>
          <w:p w14:paraId="146C4366" w14:textId="77777777" w:rsidR="00D337F3" w:rsidRPr="00ED63A1" w:rsidRDefault="00D337F3" w:rsidP="00D337F3">
            <w:pPr>
              <w:pStyle w:val="ListParagraph"/>
              <w:numPr>
                <w:ilvl w:val="0"/>
                <w:numId w:val="30"/>
              </w:numPr>
              <w:spacing w:before="120" w:after="120"/>
              <w:contextualSpacing w:val="0"/>
            </w:pPr>
            <w:r w:rsidRPr="00ED63A1">
              <w:t xml:space="preserve">Peaks can advocate for a bipartisan approach to </w:t>
            </w:r>
            <w:proofErr w:type="gramStart"/>
            <w:r w:rsidRPr="00ED63A1">
              <w:t>Closing</w:t>
            </w:r>
            <w:proofErr w:type="gramEnd"/>
            <w:r w:rsidRPr="00ED63A1">
              <w:t xml:space="preserve"> the Gap agenda in all jurisdictions.</w:t>
            </w:r>
          </w:p>
        </w:tc>
      </w:tr>
      <w:tr w:rsidR="00D337F3" w14:paraId="09B7BB1F" w14:textId="77777777" w:rsidTr="00F63F50">
        <w:trPr>
          <w:cantSplit/>
        </w:trPr>
        <w:tc>
          <w:tcPr>
            <w:tcW w:w="1211" w:type="pct"/>
          </w:tcPr>
          <w:p w14:paraId="10398DED" w14:textId="77777777" w:rsidR="00D337F3" w:rsidRPr="00ED63A1" w:rsidRDefault="00D337F3" w:rsidP="00F63F50">
            <w:pPr>
              <w:spacing w:before="120" w:after="120"/>
            </w:pPr>
            <w:r w:rsidRPr="00ED63A1">
              <w:t>F</w:t>
            </w:r>
          </w:p>
          <w:p w14:paraId="0B066C62" w14:textId="77777777" w:rsidR="00D337F3" w:rsidRPr="00ED63A1" w:rsidRDefault="00D337F3" w:rsidP="00F63F50">
            <w:pPr>
              <w:spacing w:before="120" w:after="120"/>
            </w:pPr>
            <w:r w:rsidRPr="00ED63A1">
              <w:t>The interrelation between the Partnership Agreement and the National Agreement is lost in the enthusiasm to implement the National Agreement.</w:t>
            </w:r>
          </w:p>
        </w:tc>
        <w:tc>
          <w:tcPr>
            <w:tcW w:w="404" w:type="pct"/>
          </w:tcPr>
          <w:p w14:paraId="10789052" w14:textId="77777777" w:rsidR="00D337F3" w:rsidRPr="00ED63A1" w:rsidRDefault="00D337F3" w:rsidP="00F63F50">
            <w:pPr>
              <w:spacing w:before="120" w:after="120"/>
            </w:pPr>
            <w:r w:rsidRPr="00ED63A1">
              <w:t>Medium</w:t>
            </w:r>
          </w:p>
        </w:tc>
        <w:tc>
          <w:tcPr>
            <w:tcW w:w="3385" w:type="pct"/>
          </w:tcPr>
          <w:p w14:paraId="7C454D69" w14:textId="5ECFD5B5" w:rsidR="00D337F3" w:rsidRDefault="00D337F3" w:rsidP="00D249FB">
            <w:pPr>
              <w:pStyle w:val="ListParagraph"/>
              <w:numPr>
                <w:ilvl w:val="0"/>
                <w:numId w:val="30"/>
              </w:numPr>
              <w:spacing w:before="120" w:after="120"/>
              <w:contextualSpacing w:val="0"/>
            </w:pPr>
            <w:r w:rsidRPr="00ED63A1">
              <w:t xml:space="preserve">Development and governance of, and reporting on, jurisdictional implementation plans </w:t>
            </w:r>
            <w:r w:rsidR="00D249FB">
              <w:t xml:space="preserve">to </w:t>
            </w:r>
            <w:r w:rsidRPr="00ED63A1">
              <w:t>ensure all parties understand their implementation responsibilities, including as part of joint actions. Information tools agreed by the Parties will also play a role in maintaining understanding of the links between the Agreements and their relevance to progressing effective implementation, particularly the partnership actions.</w:t>
            </w:r>
            <w:r>
              <w:t xml:space="preserve"> </w:t>
            </w:r>
          </w:p>
        </w:tc>
      </w:tr>
    </w:tbl>
    <w:p w14:paraId="4D897E55" w14:textId="77777777" w:rsidR="00A7722D" w:rsidRDefault="00A7722D" w:rsidP="006B0488"/>
    <w:sectPr w:rsidR="00A7722D" w:rsidSect="00A7722D">
      <w:headerReference w:type="default" r:id="rId15"/>
      <w:headerReference w:type="first" r:id="rId16"/>
      <w:pgSz w:w="16838" w:h="11906" w:orient="landscape"/>
      <w:pgMar w:top="851" w:right="1559" w:bottom="851" w:left="1701" w:header="42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A15EA" w14:textId="77777777" w:rsidR="001E07F1" w:rsidRDefault="001E07F1" w:rsidP="00B95533">
      <w:pPr>
        <w:spacing w:after="0" w:line="240" w:lineRule="auto"/>
      </w:pPr>
      <w:r>
        <w:separator/>
      </w:r>
    </w:p>
  </w:endnote>
  <w:endnote w:type="continuationSeparator" w:id="0">
    <w:p w14:paraId="219D2220" w14:textId="77777777" w:rsidR="001E07F1" w:rsidRDefault="001E07F1"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E887" w14:textId="77777777" w:rsidR="00D534CB" w:rsidRDefault="00D53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A6B8F" w14:textId="77777777" w:rsidR="0038478A" w:rsidRPr="00B769C6" w:rsidRDefault="001E07F1" w:rsidP="0038478A">
    <w:pPr>
      <w:pStyle w:val="Header"/>
      <w:jc w:val="center"/>
      <w:rPr>
        <w:b w:val="0"/>
        <w:color w:val="FF0000"/>
      </w:rPr>
    </w:pPr>
    <w:sdt>
      <w:sdtPr>
        <w:rPr>
          <w:rFonts w:asciiTheme="minorHAnsi" w:hAnsiTheme="minorHAnsi"/>
          <w:b w:val="0"/>
          <w:color w:val="FF0000"/>
        </w:rPr>
        <w:alias w:val="Classification"/>
        <w:tag w:val="Classification"/>
        <w:id w:val="-73585789"/>
        <w:dataBinding w:xpath="/root[1]/Classification[1]" w:storeItemID="{F533AE62-A212-4B26-92DA-A3B336E8AE06}"/>
        <w:text/>
      </w:sdtPr>
      <w:sdtEndPr/>
      <w:sdtContent>
        <w:r w:rsidR="0038478A">
          <w:rPr>
            <w:rFonts w:asciiTheme="minorHAnsi" w:hAnsiTheme="minorHAnsi"/>
            <w:b w:val="0"/>
            <w:color w:val="FF0000"/>
          </w:rPr>
          <w:t>OFFICIAL</w:t>
        </w:r>
      </w:sdtContent>
    </w:sdt>
  </w:p>
  <w:p w14:paraId="328E2A35" w14:textId="739D17E0" w:rsidR="009672EB" w:rsidRPr="00A477A0" w:rsidRDefault="0038478A" w:rsidP="0038478A">
    <w:pPr>
      <w:pStyle w:val="Footerline"/>
      <w:rPr>
        <w:color w:val="014463" w:themeColor="text2"/>
      </w:rPr>
    </w:pPr>
    <w:r>
      <w:rPr>
        <w:color w:val="014463" w:themeColor="text2"/>
        <w:lang w:eastAsia="en-AU"/>
      </w:rPr>
      <w:t xml:space="preserve"> </w:t>
    </w:r>
    <w:r w:rsidR="00DD0291">
      <w:rPr>
        <w:color w:val="014463" w:themeColor="text2"/>
        <w:lang w:eastAsia="en-AU"/>
      </w:rPr>
      <mc:AlternateContent>
        <mc:Choice Requires="wps">
          <w:drawing>
            <wp:anchor distT="0" distB="0" distL="114300" distR="114300" simplePos="0" relativeHeight="251676160" behindDoc="0" locked="0" layoutInCell="1" allowOverlap="1" wp14:anchorId="666E6A44" wp14:editId="185B21A1">
              <wp:simplePos x="0" y="0"/>
              <wp:positionH relativeFrom="page">
                <wp:posOffset>900430</wp:posOffset>
              </wp:positionH>
              <wp:positionV relativeFrom="page">
                <wp:posOffset>6910777</wp:posOffset>
              </wp:positionV>
              <wp:extent cx="8997950" cy="44450"/>
              <wp:effectExtent l="19050" t="19050" r="31750" b="31750"/>
              <wp:wrapNone/>
              <wp:docPr id="11" name="Straight Connector 11"/>
              <wp:cNvGraphicFramePr/>
              <a:graphic xmlns:a="http://schemas.openxmlformats.org/drawingml/2006/main">
                <a:graphicData uri="http://schemas.microsoft.com/office/word/2010/wordprocessingShape">
                  <wps:wsp>
                    <wps:cNvCnPr/>
                    <wps:spPr>
                      <a:xfrm>
                        <a:off x="0" y="0"/>
                        <a:ext cx="8997950" cy="4445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765E9" id="Straight Connector 11"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544.15pt" to="779.4pt,5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fe7gEAADcEAAAOAAAAZHJzL2Uyb0RvYy54bWysU02P2yAQvVfqf0DcGztR0k2sOHvIanvp&#10;R9RtfwDBYCMBg4CNk3/fATvOqq1U7ao5EJiZN7z3GG/vz0aTk/BBga3pfFZSIiyHRtm2pj9/PH5Y&#10;UxIisw3TYEVNLyLQ+937d9veVWIBHehGeIJNbKh6V9MuRlcVReCdMCzMwAmLSQnesIhH3xaNZz12&#10;N7pYlOXHogffOA9chIDRhyFJd7m/lILHb1IGEYmuKXKLefV5Paa12G1Z1XrmOsVHGuwNLAxTFi+d&#10;Wj2wyMizV3+0Mop7CCDjjIMpQErFRdaAaublb2qeOuZE1oLmBDfZFP5fW/71dPBENfh2c0osM/hG&#10;T9Ez1XaR7MFadBA8wSQ61btQIWBvD348BXfwSfZZepP+URA5Z3cvk7viHAnH4Hqzudus8BE45pbL&#10;JW6xS3EDOx/iJwGGpE1NtbJJPKvY6XOIQ+m1JIW1JX1NF+vV3SqXBdCqeVRap2QeILHXnpwYPv2x&#10;XeQa/Wy+QDPENiX+RgpTeSb0ohPS0xaDSfogNu/iRYuBw3ch0T6UNx9IpMG93cs4FzZm83InrE4w&#10;iSwnYPlv4FifoCIP9WvAEyLfDDZOYKMs+L/dHs9XynKovzow6E4WHKG55DHI1uB0ZufGLymN/8tz&#10;ht++990vAAAA//8DAFBLAwQUAAYACAAAACEAfoOXL98AAAAOAQAADwAAAGRycy9kb3ducmV2Lnht&#10;bEyPwU7DMBBE70j8g7VI3KhdSioT4lQFBHfaItGbGy9JRGxHtpsmf8/mBLed2dHs22Iz2o4NGGLr&#10;nYLlQgBDV3nTulrBYf92J4HFpJ3RnXeoYMIIm/L6qtC58Rf3gcMu1YxKXMy1gialPuc8Vg1aHRe+&#10;R0e7bx+sTiRDzU3QFyq3Hb8XYs2tbh1daHSPLw1WP7uzVVAfvtbPYb+V7/1w/BTH14nbYVLq9mbc&#10;PgFLOKa/MMz4hA4lMZ382ZnIOtIPS0JPNAgpV8DmSJZJ8k6z95itgJcF//9G+QsAAP//AwBQSwEC&#10;LQAUAAYACAAAACEAtoM4kv4AAADhAQAAEwAAAAAAAAAAAAAAAAAAAAAAW0NvbnRlbnRfVHlwZXNd&#10;LnhtbFBLAQItABQABgAIAAAAIQA4/SH/1gAAAJQBAAALAAAAAAAAAAAAAAAAAC8BAABfcmVscy8u&#10;cmVsc1BLAQItABQABgAIAAAAIQDsBlfe7gEAADcEAAAOAAAAAAAAAAAAAAAAAC4CAABkcnMvZTJv&#10;RG9jLnhtbFBLAQItABQABgAIAAAAIQB+g5cv3wAAAA4BAAAPAAAAAAAAAAAAAAAAAEgEAABkcnMv&#10;ZG93bnJldi54bWxQSwUGAAAAAAQABADzAAAAVAUAAAAA&#10;" strokecolor="#bbb [2894]" strokeweight="2.25pt">
              <v:stroke joinstyle="miter"/>
              <w10:wrap anchorx="page" anchory="page"/>
            </v:line>
          </w:pict>
        </mc:Fallback>
      </mc:AlternateContent>
    </w:r>
    <w:r w:rsidR="009672EB">
      <w:rPr>
        <w:color w:val="014463" w:themeColor="text2"/>
        <w:lang w:eastAsia="en-AU"/>
      </w:rPr>
      <mc:AlternateContent>
        <mc:Choice Requires="wps">
          <w:drawing>
            <wp:anchor distT="0" distB="0" distL="114300" distR="114300" simplePos="0" relativeHeight="251655680" behindDoc="0" locked="0" layoutInCell="1" allowOverlap="1" wp14:anchorId="69FB4B35" wp14:editId="68810DCD">
              <wp:simplePos x="0" y="0"/>
              <wp:positionH relativeFrom="page">
                <wp:posOffset>537882</wp:posOffset>
              </wp:positionH>
              <wp:positionV relativeFrom="page">
                <wp:posOffset>10075769</wp:posOffset>
              </wp:positionV>
              <wp:extent cx="6480000" cy="0"/>
              <wp:effectExtent l="0" t="19050" r="35560" b="19050"/>
              <wp:wrapNone/>
              <wp:docPr id="194" name="Straight Connector 194"/>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5D23D" id="Straight Connector 194" o:spid="_x0000_s1026" style="position:absolute;z-index:251655680;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hq6gEAADUEAAAOAAAAZHJzL2Uyb0RvYy54bWysU01v2zAMvQ/YfxB0X+wEbZcacXpI0V32&#10;EazbD1BkKRYgiQKlxsm/HyUnTrENGDbMB1ki+Ui+J2r1cHSWHRRGA77l81nNmfISOuP3Lf/+7end&#10;krOYhO+EBa9aflKRP6zfvlkNoVEL6MF2Chkl8bEZQsv7lEJTVVH2yok4g6A8OTWgE4mOuK86FANl&#10;d7Za1PVdNQB2AUGqGMn6ODr5uuTXWsn0ReuoErMtp95SWbGsu7xW65Vo9ihCb+S5DfEPXThhPBWd&#10;Uj2KJNgLml9SOSMRIug0k+Aq0NpIVTgQm3n9E5vnXgRVuJA4MUwyxf+XVn4+bJGZju7u/oYzLxxd&#10;0nNCYfZ9YhvwniQEZNlLWg0hNgTZ+C2eTzFsMRM/anT5T5TYseh7mvRVx8QkGe9uljV9nMmLr7oC&#10;A8b0QYFjedNya3ymLhpx+BgTFaPQS0g2W8+Gli+Wt+9vS1gEa7onY212lvFRG4vsIOjid/tFibEv&#10;7hN0o+2+dDLmncJLlVeZqKb1ZMy0R6Jll05WjT18VZrEI2rzsYk8tte6Qkrl0zwLVzJRdIZp6nIC&#10;1n8GnuMzVJWR/hvwhCiVwacJ7IwH/F31dLy0rMf4iwIj7yzBDrpTGYEiDc1mYXh+R3n4X58L/Pra&#10;1z8AAAD//wMAUEsDBBQABgAIAAAAIQBkJ7zR3gAAAA0BAAAPAAAAZHJzL2Rvd25yZXYueG1sTI9B&#10;T8MwDIXvSPyHyEjcWLKJlao0nQYI7mxDYresMW1F41RN1rX/Hu8wjZv93tPz53w1ulYM2IfGk4b5&#10;TIFAKr1tqNKw274/pCBCNGRN6wk1TBhgVdze5Caz/kSfOGxiJbiEQmY01DF2mZShrNGZMPMdEns/&#10;vncm8tpX0vbmxOWulQulEulMQ3yhNh2+1lj+bo5OQ7X7Tl767Tr96Ib9l9q/TdINk9b3d+P6GUTE&#10;MV7DcMZndCiY6eCPZINoNaSPT5xkfZkmPJ0Tc7VcgDhcNFnk8v8XxR8AAAD//wMAUEsBAi0AFAAG&#10;AAgAAAAhALaDOJL+AAAA4QEAABMAAAAAAAAAAAAAAAAAAAAAAFtDb250ZW50X1R5cGVzXS54bWxQ&#10;SwECLQAUAAYACAAAACEAOP0h/9YAAACUAQAACwAAAAAAAAAAAAAAAAAvAQAAX3JlbHMvLnJlbHNQ&#10;SwECLQAUAAYACAAAACEA44AIauoBAAA1BAAADgAAAAAAAAAAAAAAAAAuAgAAZHJzL2Uyb0RvYy54&#10;bWxQSwECLQAUAAYACAAAACEAZCe80d4AAAANAQAADwAAAAAAAAAAAAAAAABEBAAAZHJzL2Rvd25y&#10;ZXYueG1sUEsFBgAAAAAEAAQA8wAAAE8FAAAAAA==&#10;" strokecolor="#bbb [2894]" strokeweight="2.25pt">
              <v:stroke joinstyle="miter"/>
              <w10:wrap anchorx="page" anchory="page"/>
            </v:line>
          </w:pict>
        </mc:Fallback>
      </mc:AlternateContent>
    </w:r>
    <w:r w:rsidR="009672EB" w:rsidRPr="00A477A0">
      <w:rPr>
        <w:color w:val="014463" w:themeColor="text2"/>
        <w:lang w:eastAsia="en-AU"/>
      </w:rPr>
      <mc:AlternateContent>
        <mc:Choice Requires="wps">
          <w:drawing>
            <wp:anchor distT="45720" distB="45720" distL="114300" distR="114300" simplePos="0" relativeHeight="251653632" behindDoc="0" locked="1" layoutInCell="1" allowOverlap="1" wp14:anchorId="39FB5607" wp14:editId="7A201B3D">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733C2DE9" w14:textId="6B163D41"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78041D">
                            <w:rPr>
                              <w:rFonts w:ascii="Montserrat" w:hAnsi="Montserrat"/>
                              <w:noProof/>
                              <w:color w:val="25303B" w:themeColor="accent1"/>
                            </w:rPr>
                            <w:t>3</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FB5607" id="_x0000_t202" coordsize="21600,21600" o:spt="202" path="m,l,21600r21600,l21600,xe">
              <v:stroke joinstyle="miter"/>
              <v:path gradientshapeok="t" o:connecttype="rect"/>
            </v:shapetype>
            <v:shape id="Text Box 2" o:spid="_x0000_s1026" type="#_x0000_t202" style="position:absolute;margin-left:-25.1pt;margin-top:0;width:26.1pt;height:57.25pt;z-index:25165363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f/wEAAOQDAAAOAAAAZHJzL2Uyb0RvYy54bWysU9tu2zAMfR+wfxD0vjhx0bUz4hRduw4D&#10;ugvQ7gNoWY6FSaImKbGzrx8lx2mwvQ3zg0BR5CEPeby+GY1me+mDQlvz1WLJmbQCW2W3Nf/+/PDm&#10;mrMQwbag0cqaH2TgN5vXr9aDq2SJPepWekYgNlSDq3kfo6uKIoheGggLdNLSY4feQKSr3xath4HQ&#10;jS7K5fJtMaBvnUchQyDv/fTINxm/66SIX7suyMh0zam3mE+fzyadxWYN1daD65U4tgH/0IUBZano&#10;CeoeIrCdV39BGSU8BuziQqApsOuUkJkDsVkt/2Dz1IOTmQsNJ7jTmML/gxVf9t88Uy3truTMgqEd&#10;Pcsxsvc4sjKNZ3ChoqgnR3FxJDeFZqrBPaL4EZjFux7sVt56j0MvoaX2VimzOEudcEICaYbP2FIZ&#10;2EXMQGPnTZodTYMROq3pcFpNakWQ8+JiRevmTNDTVXmV7FQBqjnZ+RA/SjQsGTX3tPkMDvvHEKfQ&#10;OSTVsvigtCY/VNqyoebvLsvLnHD2YlQkcWplan69TN8kl8Txg21zcgSlJ5t60fZIOvGcGMexGSkw&#10;TaLB9kD0PU4ipJ+GjB79L84GEmDNw88deMmZ/mRphEmts+Fno5kNsIJSay6i52y63MWs64ndLQ23&#10;U5n4S+1jdySlPLqj7JNWz+856uXn3PwGAAD//wMAUEsDBBQABgAIAAAAIQCRQH9c2wAAAAQBAAAP&#10;AAAAZHJzL2Rvd25yZXYueG1sTI9BT8JAEIXvJv6HzZh4MbKlEWNqtwQx4MlDgR8wdIe2oTvbdBco&#10;/npHL3p5yeS9vPdNPh9dp840hNazgekkAUVcedtybWC3XT2+gAoR2WLnmQxcKcC8uL3JMbP+wiWd&#10;N7FWUsIhQwNNjH2mdagachgmvicW7+AHh1HOodZ2wIuUu06nSfKsHbYsCw32tGyoOm5OzgAtSv/1&#10;eQxrV769L9eHlulBfxhzfzcuXkFFGuNfGH7wBR0KYdr7E9ugOgPySPxV8WZpCmovmenTDHSR6//w&#10;xTcAAAD//wMAUEsBAi0AFAAGAAgAAAAhALaDOJL+AAAA4QEAABMAAAAAAAAAAAAAAAAAAAAAAFtD&#10;b250ZW50X1R5cGVzXS54bWxQSwECLQAUAAYACAAAACEAOP0h/9YAAACUAQAACwAAAAAAAAAAAAAA&#10;AAAvAQAAX3JlbHMvLnJlbHNQSwECLQAUAAYACAAAACEAUP2Sn/8BAADkAwAADgAAAAAAAAAAAAAA&#10;AAAuAgAAZHJzL2Uyb0RvYy54bWxQSwECLQAUAAYACAAAACEAkUB/XNsAAAAEAQAADwAAAAAAAAAA&#10;AAAAAABZBAAAZHJzL2Rvd25yZXYueG1sUEsFBgAAAAAEAAQA8wAAAGEFAAAAAA==&#10;" filled="f" stroked="f">
              <v:textbox inset="0,0,0,0">
                <w:txbxContent>
                  <w:p w14:paraId="733C2DE9" w14:textId="6B163D41"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78041D">
                      <w:rPr>
                        <w:rFonts w:ascii="Montserrat" w:hAnsi="Montserrat"/>
                        <w:noProof/>
                        <w:color w:val="25303B" w:themeColor="accent1"/>
                      </w:rPr>
                      <w:t>3</w:t>
                    </w:r>
                    <w:r w:rsidRPr="003B5A05">
                      <w:rPr>
                        <w:rFonts w:ascii="Montserrat" w:hAnsi="Montserrat"/>
                        <w:color w:val="25303B" w:themeColor="accent1"/>
                      </w:rPr>
                      <w:fldChar w:fldCharType="end"/>
                    </w:r>
                  </w:p>
                </w:txbxContent>
              </v:textbox>
              <w10:wrap anchorx="margin" anchory="page"/>
              <w10:anchorlock/>
            </v:shape>
          </w:pict>
        </mc:Fallback>
      </mc:AlternateContent>
    </w:r>
  </w:p>
  <w:p w14:paraId="12F60B13" w14:textId="77777777" w:rsidR="002D4974" w:rsidRPr="001509C2" w:rsidRDefault="002D4974"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60800" behindDoc="0" locked="1" layoutInCell="1" allowOverlap="1" wp14:anchorId="3CC1E50D" wp14:editId="757D0128">
              <wp:simplePos x="0" y="0"/>
              <wp:positionH relativeFrom="margin">
                <wp:align>right</wp:align>
              </wp:positionH>
              <wp:positionV relativeFrom="page">
                <wp:align>bottom</wp:align>
              </wp:positionV>
              <wp:extent cx="331200" cy="727200"/>
              <wp:effectExtent l="0" t="0" r="1206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0E5A4097" w14:textId="51699ACC"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78041D">
                            <w:rPr>
                              <w:rFonts w:ascii="Montserrat" w:hAnsi="Montserrat"/>
                              <w:noProof/>
                            </w:rPr>
                            <w:t>3</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1E50D" id="_x0000_s1027" type="#_x0000_t202" style="position:absolute;margin-left:-25.1pt;margin-top:0;width:26.1pt;height:57.25pt;z-index:25166080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qQAgIAAOsDAAAOAAAAZHJzL2Uyb0RvYy54bWysU8Fu2zAMvQ/YPwi6L05cdG2NKEXXrsOA&#10;rhvQ7gMYWY6FSaImKbG7rx8lJ2mw3Yb5IFAU+cj3SC+vR2vYToWo0Qm+mM05U05iq91G8O/P9+8u&#10;OYsJXAsGnRL8RUV+vXr7Zjn4RtXYo2lVYATiYjN4wfuUfFNVUfbKQpyhV44eOwwWEl3DpmoDDIRu&#10;TVXP5++rAUPrA0oVI3nvpke+Kvhdp2T62nVRJWYEp95SOUM51/msVktoNgF8r+W+DfiHLixoR0WP&#10;UHeQgG2D/gvKahkwYpdmEm2FXaelKhyIzWL+B5unHrwqXEic6I8yxf8HKx933wLTreD1FWcOLM3o&#10;WY2JfcCR1VmewceGop48xaWR3DTmQjX6B5Q/InN424PbqJsQcOgVtNTeImdWJ6kTTswg6+ELtlQG&#10;tgkL0NgFm7UjNRih05hejqPJrUhynp0taNycSXq6qC+ynStAc0j2IaZPCi3LhuCBJl/AYfcQ0xR6&#10;CMm1HN5rY8gPjXFsEPzqvD4vCScvVidaTqOt4Jfz/E3rkjl+dG1JTqDNZFMvxu1JZ54T4zSuxyJv&#10;USQLssb2hVQIOO0i/Ttk9Bh+cTbQHgoef24hKM7MZ0dK5qU9GOFgrA8GOEmpgssUOJsut6ms90Ty&#10;hjTudOH/WnvfJG1UUXC//XllT+8l6vUfXf0GAAD//wMAUEsDBBQABgAIAAAAIQCRQH9c2wAAAAQB&#10;AAAPAAAAZHJzL2Rvd25yZXYueG1sTI9BT8JAEIXvJv6HzZh4MbKlEWNqtwQx4MlDgR8wdIe2oTvb&#10;dBco/npHL3p5yeS9vPdNPh9dp840hNazgekkAUVcedtybWC3XT2+gAoR2WLnmQxcKcC8uL3JMbP+&#10;wiWdN7FWUsIhQwNNjH2mdagachgmvicW7+AHh1HOodZ2wIuUu06nSfKsHbYsCw32tGyoOm5OzgAt&#10;Sv/1eQxrV769L9eHlulBfxhzfzcuXkFFGuNfGH7wBR0KYdr7E9ugOgPySPxV8WZpCmovmenTDHSR&#10;6//wxTcAAAD//wMAUEsBAi0AFAAGAAgAAAAhALaDOJL+AAAA4QEAABMAAAAAAAAAAAAAAAAAAAAA&#10;AFtDb250ZW50X1R5cGVzXS54bWxQSwECLQAUAAYACAAAACEAOP0h/9YAAACUAQAACwAAAAAAAAAA&#10;AAAAAAAvAQAAX3JlbHMvLnJlbHNQSwECLQAUAAYACAAAACEAvDsqkAICAADrAwAADgAAAAAAAAAA&#10;AAAAAAAuAgAAZHJzL2Uyb0RvYy54bWxQSwECLQAUAAYACAAAACEAkUB/XNsAAAAEAQAADwAAAAAA&#10;AAAAAAAAAABcBAAAZHJzL2Rvd25yZXYueG1sUEsFBgAAAAAEAAQA8wAAAGQFAAAAAA==&#10;" filled="f" stroked="f">
              <v:textbox inset="0,0,0,0">
                <w:txbxContent>
                  <w:p w14:paraId="0E5A4097" w14:textId="51699ACC"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78041D">
                      <w:rPr>
                        <w:rFonts w:ascii="Montserrat" w:hAnsi="Montserrat"/>
                        <w:noProof/>
                      </w:rPr>
                      <w:t>3</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32E" w14:textId="17114E35" w:rsidR="0038478A" w:rsidRPr="00B769C6" w:rsidRDefault="001E07F1" w:rsidP="0038478A">
    <w:pPr>
      <w:pStyle w:val="Header"/>
      <w:jc w:val="center"/>
      <w:rPr>
        <w:b w:val="0"/>
        <w:color w:val="FF0000"/>
      </w:rPr>
    </w:pPr>
    <w:sdt>
      <w:sdtPr>
        <w:rPr>
          <w:rFonts w:asciiTheme="minorHAnsi" w:hAnsiTheme="minorHAnsi"/>
          <w:b w:val="0"/>
          <w:color w:val="FF0000"/>
        </w:rPr>
        <w:alias w:val="Classification"/>
        <w:tag w:val="Classification"/>
        <w:id w:val="-2006816978"/>
        <w:dataBinding w:xpath="/root[1]/Classification[1]" w:storeItemID="{F533AE62-A212-4B26-92DA-A3B336E8AE06}"/>
        <w:text/>
      </w:sdtPr>
      <w:sdtEndPr/>
      <w:sdtContent>
        <w:r w:rsidR="0038478A">
          <w:rPr>
            <w:rFonts w:asciiTheme="minorHAnsi" w:hAnsiTheme="minorHAnsi"/>
            <w:b w:val="0"/>
            <w:color w:val="FF0000"/>
          </w:rPr>
          <w:t>OFFICIAL</w:t>
        </w:r>
      </w:sdtContent>
    </w:sdt>
  </w:p>
  <w:p w14:paraId="61661B8A" w14:textId="197B7C4C" w:rsidR="009672EB" w:rsidRPr="00F651C4" w:rsidRDefault="0038478A" w:rsidP="0038478A">
    <w:pPr>
      <w:pStyle w:val="Footerline"/>
    </w:pPr>
    <w:r>
      <w:rPr>
        <w:color w:val="014463" w:themeColor="text2"/>
        <w:lang w:eastAsia="en-AU"/>
      </w:rPr>
      <w:t xml:space="preserve"> </w:t>
    </w:r>
    <w:r w:rsidR="00A7722D">
      <w:rPr>
        <w:color w:val="014463" w:themeColor="text2"/>
        <w:lang w:eastAsia="en-AU"/>
      </w:rPr>
      <mc:AlternateContent>
        <mc:Choice Requires="wps">
          <w:drawing>
            <wp:anchor distT="0" distB="0" distL="114300" distR="114300" simplePos="0" relativeHeight="251672064" behindDoc="0" locked="0" layoutInCell="1" allowOverlap="1" wp14:anchorId="3CBDC6FE" wp14:editId="5787D8B6">
              <wp:simplePos x="0" y="0"/>
              <wp:positionH relativeFrom="page">
                <wp:posOffset>864163</wp:posOffset>
              </wp:positionH>
              <wp:positionV relativeFrom="page">
                <wp:posOffset>6893560</wp:posOffset>
              </wp:positionV>
              <wp:extent cx="8997950" cy="44450"/>
              <wp:effectExtent l="19050" t="19050" r="31750" b="31750"/>
              <wp:wrapNone/>
              <wp:docPr id="13" name="Straight Connector 13"/>
              <wp:cNvGraphicFramePr/>
              <a:graphic xmlns:a="http://schemas.openxmlformats.org/drawingml/2006/main">
                <a:graphicData uri="http://schemas.microsoft.com/office/word/2010/wordprocessingShape">
                  <wps:wsp>
                    <wps:cNvCnPr/>
                    <wps:spPr>
                      <a:xfrm>
                        <a:off x="0" y="0"/>
                        <a:ext cx="8997950" cy="4445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6F4D" id="Straight Connector 13"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8.05pt,542.8pt" to="776.55pt,5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827gEAADcEAAAOAAAAZHJzL2Uyb0RvYy54bWysU02P2yAQvVfqf0DcGztp0k2sOHvIanvp&#10;R7Tb/gCCwUYCBgEbJ/++A3acVVupatUcCAzzZt57jLf3Z6PJSfigwNZ0PispEZZDo2xb0+/fHt+t&#10;KQmR2YZpsKKmFxHo/e7tm23vKrGADnQjPMEiNlS9q2kXo6uKIvBOGBZm4ITFSwnesIhH3xaNZz1W&#10;N7pYlOWHogffOA9chIDRh+GS7nJ9KQWPX6UMIhJdU+QW8+rzekxrsduyqvXMdYqPNNg/sDBMWWw6&#10;lXpgkZEXr34pZRT3EEDGGQdTgJSKi6wB1czLn9Q8d8yJrAXNCW6yKfy/svzL6eCJavDt3lNimcE3&#10;eo6eqbaLZA/WooPgCV6iU70LFQL29uDHU3AHn2SfpTfpHwWRc3b3MrkrzpFwDK43m7vNCh+B491y&#10;ucQtViluYOdD/CjAkLSpqVY2iWcVO30KcUi9pqSwtqSv6WK9ulvltABaNY9K63SZB0jstScnhk9/&#10;bBc5R7+Yz9AMsU2Jv5HClJ4JvaqE9LTFYJI+iM27eNFi4PAkJNqH8uYDiTS4t76Mc2HjfOyiLWYn&#10;mESWE7D8M3DMT1CRh/pvwBMidwYbJ7BRFvzvusfzlbIc8q8ODLqTBUdoLnkMsjU4ndm58UtK4//6&#10;nOG37333AwAA//8DAFBLAwQUAAYACAAAACEAgS/e9OAAAAAOAQAADwAAAGRycy9kb3ducmV2Lnht&#10;bEyPwU7DMBBE70j8g7VI3KjTVrFCGqcqILjTFone3NhNIuJ1ZLtp8vdsTnDbmR3Nvi22o+3YYHxo&#10;HUpYLhJgBiunW6wlHA/vTxmwEBVq1Tk0EiYTYFve3xUq1+6Gn2bYx5pRCYZcSWhi7HPOQ9UYq8LC&#10;9QZpd3HeqkjS11x7daNy2/FVkghuVYt0oVG9eW1M9bO/Wgn18Vu8+MMu++iH01dyepu4HSYpHx/G&#10;3QZYNGP8C8OMT+hQEtPZXVEH1pFeiyVFaUiyVACbI2m6Ju88e88rAbws+P83yl8AAAD//wMAUEsB&#10;Ai0AFAAGAAgAAAAhALaDOJL+AAAA4QEAABMAAAAAAAAAAAAAAAAAAAAAAFtDb250ZW50X1R5cGVz&#10;XS54bWxQSwECLQAUAAYACAAAACEAOP0h/9YAAACUAQAACwAAAAAAAAAAAAAAAAAvAQAAX3JlbHMv&#10;LnJlbHNQSwECLQAUAAYACAAAACEAgQJvNu4BAAA3BAAADgAAAAAAAAAAAAAAAAAuAgAAZHJzL2Uy&#10;b0RvYy54bWxQSwECLQAUAAYACAAAACEAgS/e9OAAAAAOAQAADwAAAAAAAAAAAAAAAABIBAAAZHJz&#10;L2Rvd25yZXYueG1sUEsFBgAAAAAEAAQA8wAAAFUFAAAAAA==&#10;" strokecolor="#bbb [2894]" strokeweight="2.25pt">
              <v:stroke joinstyle="miter"/>
              <w10:wrap anchorx="page" anchory="page"/>
            </v:line>
          </w:pict>
        </mc:Fallback>
      </mc:AlternateContent>
    </w:r>
    <w:r w:rsidR="009672EB">
      <w:rPr>
        <w:lang w:eastAsia="en-AU"/>
      </w:rPr>
      <mc:AlternateContent>
        <mc:Choice Requires="wps">
          <w:drawing>
            <wp:anchor distT="0" distB="0" distL="114300" distR="114300" simplePos="0" relativeHeight="251656704" behindDoc="0" locked="0" layoutInCell="1" allowOverlap="1" wp14:anchorId="1191A12D" wp14:editId="1AE0F3C5">
              <wp:simplePos x="0" y="0"/>
              <wp:positionH relativeFrom="page">
                <wp:posOffset>540204</wp:posOffset>
              </wp:positionH>
              <wp:positionV relativeFrom="page">
                <wp:posOffset>10119632</wp:posOffset>
              </wp:positionV>
              <wp:extent cx="6480000" cy="0"/>
              <wp:effectExtent l="0" t="19050" r="35560" b="19050"/>
              <wp:wrapNone/>
              <wp:docPr id="39" name="Straight Connector 39"/>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341F3" id="Straight Connector 39"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B/6QEAADMEAAAOAAAAZHJzL2Uyb0RvYy54bWysU02P0zAQvSPxHyzfadLCLt2o6R66Wi58&#10;VCz8ANcZN5Zsj2V7m/bfM3badAVICEQPbjwz7828l8nq/mgNO0CIGl3L57OaM3ASO+32Lf/+7fHN&#10;krOYhOuEQQctP0Hk9+vXr1aDb2CBPZoOAiMSF5vBt7xPyTdVFWUPVsQZenCUVBisSHQN+6oLYiB2&#10;a6pFXd9WA4bOB5QQI0UfxiRfF36lQKYvSkVIzLScZkvlDOXc5bNar0SzD8L3Wp7HEP8whRXaUdOJ&#10;6kEkwZ6D/oXKahkwokozibZCpbSEooHUzOuf1Dz1wkPRQuZEP9kU/x+t/HzYBqa7lr+948wJS+/o&#10;KQWh931iG3SOHMTAKElODT42BNi4bTjfot+GLPuogs3/JIgdi7unyV04JiYpePtuWdOPM3nJVVeg&#10;DzF9ALQsP7TcaJeFi0YcPsZEzaj0UpLDxrGh5YvlzfubUhbR6O5RG5OTZXlgYwI7CHrtu/2i1Jhn&#10;+wm7MXZXJhl5p/LS5QUT9TSOgln2KLQ8pZOBcYavoMg6kjYfh8hLe+0rpASX5tm4wkTVGaZoyglY&#10;/xl4rs9QKAv9N+AJUTqjSxPYaofhd93T8TKyGusvDoy6swU77E5lBYo1tJlF4fkryqv/8l7g1299&#10;/QMAAP//AwBQSwMEFAAGAAgAAAAhAOUrOC3eAAAADQEAAA8AAABkcnMvZG93bnJldi54bWxMj8FO&#10;wzAQRO9I/IO1SNyoHVCikMapCgjutEWiNzd2k4h4Hdlumvw92wMqt92Z0ezbcjXZno3Gh86hhGQh&#10;gBmsne6wkbDbvj/kwEJUqFXv0EiYTYBVdXtTqkK7M36acRMbRiUYCiWhjXEoOA91a6wKCzcYJO/o&#10;vFWRVt9w7dWZym3PH4XIuFUd0oVWDea1NfXP5mQlNLvv7MVv1/nHMO6/xP5t5nacpby/m9ZLYNFM&#10;8RqGCz6hQ0VMB3dCHVgvIU8TSpKePj9lwC6JRKQ0Hf40XpX8/xfVLwAAAP//AwBQSwECLQAUAAYA&#10;CAAAACEAtoM4kv4AAADhAQAAEwAAAAAAAAAAAAAAAAAAAAAAW0NvbnRlbnRfVHlwZXNdLnhtbFBL&#10;AQItABQABgAIAAAAIQA4/SH/1gAAAJQBAAALAAAAAAAAAAAAAAAAAC8BAABfcmVscy8ucmVsc1BL&#10;AQItABQABgAIAAAAIQDpQkB/6QEAADMEAAAOAAAAAAAAAAAAAAAAAC4CAABkcnMvZTJvRG9jLnht&#10;bFBLAQItABQABgAIAAAAIQDlKzgt3gAAAA0BAAAPAAAAAAAAAAAAAAAAAEMEAABkcnMvZG93bnJl&#10;di54bWxQSwUGAAAAAAQABADzAAAATgUAAAAA&#10;" strokecolor="#bbb [2894]" strokeweight="2.25pt">
              <v:stroke joinstyle="miter"/>
              <w10:wrap anchorx="page" anchory="page"/>
            </v:line>
          </w:pict>
        </mc:Fallback>
      </mc:AlternateContent>
    </w:r>
  </w:p>
  <w:p w14:paraId="253B56AD" w14:textId="77777777" w:rsidR="009672EB" w:rsidRPr="001509C2" w:rsidRDefault="009672EB" w:rsidP="00281E3E">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4656" behindDoc="0" locked="1" layoutInCell="1" allowOverlap="1" wp14:anchorId="42F49DCA" wp14:editId="3D562453">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4254E4DB" w14:textId="2B37A40A"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78041D">
                            <w:rPr>
                              <w:rFonts w:ascii="Montserrat" w:hAnsi="Montserrat"/>
                              <w:noProof/>
                            </w:rPr>
                            <w:t>2</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F49DCA" id="_x0000_t202" coordsize="21600,21600" o:spt="202" path="m,l,21600r21600,l21600,xe">
              <v:stroke joinstyle="miter"/>
              <v:path gradientshapeok="t" o:connecttype="rect"/>
            </v:shapetype>
            <v:shape id="_x0000_s1030" type="#_x0000_t202" style="position:absolute;margin-left:-25.1pt;margin-top:0;width:26.1pt;height:57.25pt;z-index:251654656;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BlAwIAAOoDAAAOAAAAZHJzL2Uyb0RvYy54bWysU9tu2zAMfR+wfxD0vjhJ17UzohRduw4D&#10;ugvQ7gMUWY6FSaJGKbGzrx8lx1mwvQ3zg0BR5CHPIb26GZxle43RgBd8MZtzpr2Cxvit4N+eH15d&#10;cxaT9I204LXgBx35zfrli1Ufar2EDmyjkRGIj3UfBO9SCnVVRdVpJ+MMgvb02AI6meiK26pB2RO6&#10;s9VyPn9T9YBNQFA6RvLej498XfDbVqv0pW2jTswKTr2lcmI5N/ms1itZb1GGzqhjG/IfunDSeCp6&#10;grqXSbIdmr+gnFEIEdo0U+AqaFujdOFAbBbzP9g8dTLowoXEieEkU/x/sOrz/isy0wh+xZmXjkb0&#10;rIfE3sHAllmdPsSagp4ChaWB3DTlwjSGR1DfI/Nw10m/1beI0HdaNtTdImdWZ6kjTswgm/4TNFRG&#10;7hIUoKFFl6UjMRih05QOp8nkVhQ5Ly4WNG3OFD1dLa+ynSvIekoOGNMHDY5lQ3CkwRdwuX+MaQyd&#10;QnItDw/GWvLL2nrWC/72cnlZEs5enEm0m9Y4wa/n+Ru3JXN875uSnKSxo029WH8knXmOjNOwGYq6&#10;ryctN9AcSAWEcRXp1yGjA/zJWU9rKHj8sZOoObMfPSmZd3YycDI2kyG9olTBVULOxstdKts9krwl&#10;jVtT+OdhjLWPTdJCFQWPy5839vxeon7/outfAAAA//8DAFBLAwQUAAYACAAAACEAkUB/XNsAAAAE&#10;AQAADwAAAGRycy9kb3ducmV2LnhtbEyPQU/CQBCF7yb+h82YeDGypRFjarcEMeDJQ4EfMHSHtqE7&#10;23QXKP56Ry96ecnkvbz3TT4fXafONITWs4HpJAFFXHnbcm1gt109voAKEdli55kMXCnAvLi9yTGz&#10;/sIlnTexVlLCIUMDTYx9pnWoGnIYJr4nFu/gB4dRzqHWdsCLlLtOp0nyrB22LAsN9rRsqDpuTs4A&#10;LUr/9XkMa1e+vS/Xh5bpQX8Yc383Ll5BRRrjXxh+8AUdCmHa+xPboDoD8kj8VfFmaQpqL5np0wx0&#10;kev/8MU3AAAA//8DAFBLAQItABQABgAIAAAAIQC2gziS/gAAAOEBAAATAAAAAAAAAAAAAAAAAAAA&#10;AABbQ29udGVudF9UeXBlc10ueG1sUEsBAi0AFAAGAAgAAAAhADj9If/WAAAAlAEAAAsAAAAAAAAA&#10;AAAAAAAALwEAAF9yZWxzLy5yZWxzUEsBAi0AFAAGAAgAAAAhAIHNQGUDAgAA6gMAAA4AAAAAAAAA&#10;AAAAAAAALgIAAGRycy9lMm9Eb2MueG1sUEsBAi0AFAAGAAgAAAAhAJFAf1zbAAAABAEAAA8AAAAA&#10;AAAAAAAAAAAAXQQAAGRycy9kb3ducmV2LnhtbFBLBQYAAAAABAAEAPMAAABlBQAAAAA=&#10;" filled="f" stroked="f">
              <v:textbox inset="0,0,0,0">
                <w:txbxContent>
                  <w:p w14:paraId="4254E4DB" w14:textId="2B37A40A"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78041D">
                      <w:rPr>
                        <w:rFonts w:ascii="Montserrat" w:hAnsi="Montserrat"/>
                        <w:noProof/>
                      </w:rPr>
                      <w:t>2</w:t>
                    </w:r>
                    <w:r w:rsidRPr="001509C2">
                      <w:rPr>
                        <w:rFonts w:ascii="Montserrat" w:hAnsi="Montserrat"/>
                        <w:b/>
                        <w:noProof/>
                      </w:rPr>
                      <w:fldChar w:fldCharType="end"/>
                    </w:r>
                  </w:p>
                </w:txbxContent>
              </v:textbox>
              <w10:wrap anchorx="margin" anchory="page"/>
              <w10:anchorlock/>
            </v:shape>
          </w:pict>
        </mc:Fallback>
      </mc:AlternateContent>
    </w:r>
    <w:r w:rsidR="001509C2" w:rsidRPr="001509C2">
      <w:rPr>
        <w:rFonts w:ascii="Montserrat" w:hAnsi="Montserrat"/>
        <w:color w:val="9C9C9C" w:themeColor="background2" w:themeShade="BF"/>
      </w:rPr>
      <w:t xml:space="preserve"> </w:t>
    </w:r>
    <w:r w:rsidR="002D4974">
      <w:rPr>
        <w:rFonts w:ascii="Montserrat" w:hAnsi="Montserrat"/>
        <w:color w:val="9C9C9C" w:themeColor="background2" w:themeShade="BF"/>
      </w:rPr>
      <w:t>Joint Council on Closing the Gap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77F27" w14:textId="77777777" w:rsidR="001E07F1" w:rsidRPr="007A6FC6" w:rsidRDefault="001E07F1" w:rsidP="00B95533">
      <w:pPr>
        <w:spacing w:after="0" w:line="240" w:lineRule="auto"/>
        <w:rPr>
          <w:color w:val="BEA887" w:themeColor="accent2"/>
        </w:rPr>
      </w:pPr>
      <w:r w:rsidRPr="007A6FC6">
        <w:rPr>
          <w:color w:val="BEA887" w:themeColor="accent2"/>
        </w:rPr>
        <w:separator/>
      </w:r>
    </w:p>
  </w:footnote>
  <w:footnote w:type="continuationSeparator" w:id="0">
    <w:p w14:paraId="3183FFF9" w14:textId="77777777" w:rsidR="001E07F1" w:rsidRPr="007A6FC6" w:rsidRDefault="001E07F1" w:rsidP="00B95533">
      <w:pPr>
        <w:spacing w:after="0" w:line="240" w:lineRule="auto"/>
        <w:rPr>
          <w:color w:val="BEA887" w:themeColor="accent2"/>
        </w:rPr>
      </w:pPr>
      <w:r w:rsidRPr="007A6FC6">
        <w:rPr>
          <w:color w:val="BEA887"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BCF8" w14:textId="77777777" w:rsidR="00D534CB" w:rsidRDefault="00D5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E20A" w14:textId="77777777" w:rsidR="009672EB" w:rsidRDefault="009672EB" w:rsidP="009672EB">
    <w:pPr>
      <w:pStyle w:val="ProtectiveMarking"/>
    </w:pPr>
  </w:p>
  <w:p w14:paraId="2C6B6C82" w14:textId="77777777" w:rsidR="009672EB" w:rsidRDefault="009672EB">
    <w:pPr>
      <w:pStyle w:val="Header"/>
    </w:pPr>
    <w:r>
      <w:rPr>
        <w:noProof/>
        <w:lang w:eastAsia="en-AU"/>
      </w:rPr>
      <w:drawing>
        <wp:anchor distT="0" distB="0" distL="114300" distR="114300" simplePos="0" relativeHeight="251657728" behindDoc="0" locked="1" layoutInCell="1" allowOverlap="1" wp14:anchorId="013D80BC" wp14:editId="2F8059A1">
          <wp:simplePos x="0" y="0"/>
          <wp:positionH relativeFrom="margin">
            <wp:align>left</wp:align>
          </wp:positionH>
          <wp:positionV relativeFrom="page">
            <wp:posOffset>628650</wp:posOffset>
          </wp:positionV>
          <wp:extent cx="6480000" cy="186711"/>
          <wp:effectExtent l="0" t="0" r="0" b="3810"/>
          <wp:wrapNone/>
          <wp:docPr id="1"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E744B" w14:textId="77777777" w:rsidR="009672EB" w:rsidRDefault="00967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B96DD" w14:textId="22C21B4C" w:rsidR="0038478A" w:rsidRPr="00B769C6" w:rsidRDefault="001E07F1" w:rsidP="0038478A">
    <w:pPr>
      <w:pStyle w:val="Header"/>
      <w:jc w:val="center"/>
      <w:rPr>
        <w:b w:val="0"/>
        <w:color w:val="FF0000"/>
      </w:rPr>
    </w:pPr>
    <w:sdt>
      <w:sdtPr>
        <w:rPr>
          <w:rFonts w:asciiTheme="minorHAnsi" w:hAnsiTheme="minorHAnsi"/>
          <w:b w:val="0"/>
          <w:color w:val="FF0000"/>
        </w:rPr>
        <w:alias w:val="Classification"/>
        <w:tag w:val="Classification"/>
        <w:id w:val="1456145015"/>
        <w:dataBinding w:xpath="/root[1]/Classification[1]" w:storeItemID="{F533AE62-A212-4B26-92DA-A3B336E8AE06}"/>
        <w:text/>
      </w:sdtPr>
      <w:sdtEndPr/>
      <w:sdtContent>
        <w:r w:rsidR="0038478A">
          <w:rPr>
            <w:rFonts w:asciiTheme="minorHAnsi" w:hAnsiTheme="minorHAnsi"/>
            <w:b w:val="0"/>
            <w:color w:val="FF0000"/>
          </w:rPr>
          <w:t>OFFICIAL</w:t>
        </w:r>
      </w:sdtContent>
    </w:sdt>
  </w:p>
  <w:p w14:paraId="49966032" w14:textId="77777777" w:rsidR="0038478A" w:rsidRDefault="0038478A" w:rsidP="00A95B4F">
    <w:pPr>
      <w:pStyle w:val="Header"/>
      <w:spacing w:after="120"/>
    </w:pPr>
  </w:p>
  <w:p w14:paraId="7DE39DD1" w14:textId="45F7AC36" w:rsidR="00C55FEB" w:rsidRDefault="00A95B4F" w:rsidP="00A95B4F">
    <w:pPr>
      <w:pStyle w:val="Header"/>
      <w:spacing w:after="120"/>
    </w:pPr>
    <w:r>
      <w:rPr>
        <w:noProof/>
        <w:lang w:eastAsia="en-AU"/>
      </w:rPr>
      <mc:AlternateContent>
        <mc:Choice Requires="wps">
          <w:drawing>
            <wp:anchor distT="45720" distB="45720" distL="114300" distR="114300" simplePos="0" relativeHeight="251663872" behindDoc="0" locked="0" layoutInCell="1" allowOverlap="1" wp14:anchorId="57A248C7" wp14:editId="07CECDD7">
              <wp:simplePos x="0" y="0"/>
              <wp:positionH relativeFrom="margin">
                <wp:posOffset>5172356</wp:posOffset>
              </wp:positionH>
              <wp:positionV relativeFrom="paragraph">
                <wp:posOffset>25272</wp:posOffset>
              </wp:positionV>
              <wp:extent cx="3425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noFill/>
                      <a:ln w="9525">
                        <a:noFill/>
                        <a:miter lim="800000"/>
                        <a:headEnd/>
                        <a:tailEnd/>
                      </a:ln>
                    </wps:spPr>
                    <wps:txbx>
                      <w:txbxContent>
                        <w:p w14:paraId="1E7AC474" w14:textId="77777777" w:rsidR="00A95B4F" w:rsidRPr="002D4974" w:rsidRDefault="00A95B4F" w:rsidP="00A95B4F">
                          <w:pPr>
                            <w:pStyle w:val="Title"/>
                            <w:jc w:val="right"/>
                            <w:rPr>
                              <w:sz w:val="48"/>
                              <w:szCs w:val="48"/>
                            </w:rPr>
                          </w:pPr>
                          <w:r w:rsidRPr="002D4974">
                            <w:rPr>
                              <w:sz w:val="48"/>
                              <w:szCs w:val="48"/>
                            </w:rPr>
                            <w:t xml:space="preserve">Joint Council </w:t>
                          </w:r>
                          <w:r w:rsidRPr="002D4974">
                            <w:rPr>
                              <w:sz w:val="48"/>
                              <w:szCs w:val="48"/>
                            </w:rPr>
                            <w:br/>
                            <w:t>on Closing the Gap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248C7" id="_x0000_t202" coordsize="21600,21600" o:spt="202" path="m,l,21600r21600,l21600,xe">
              <v:stroke joinstyle="miter"/>
              <v:path gradientshapeok="t" o:connecttype="rect"/>
            </v:shapetype>
            <v:shape id="_x0000_s1028" type="#_x0000_t202" style="position:absolute;margin-left:407.25pt;margin-top:2pt;width:269.75pt;height:110.6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KwEAIAAPwDAAAOAAAAZHJzL2Uyb0RvYy54bWysU9tuGyEQfa/Uf0C813vpOnFWXkdpUleV&#10;0ouU9AMwy3pRgaGAvet+fQbWdq30rSoPCBg4M+fMYXk7akX2wnkJpqHFLKdEGA6tNNuG/nhev1tQ&#10;4gMzLVNgREMPwtPb1ds3y8HWooQeVCscQRDj68E2tA/B1lnmeS808zOwwmCwA6dZwK3bZq1jA6Jr&#10;lZV5fpUN4FrrgAvv8fRhCtJVwu86wcO3rvMiENVQrC2k2aV5E+dstWT11jHbS34sg/1DFZpJg0nP&#10;UA8sMLJz8i8oLbkDD12YcdAZdJ3kInFANkX+is1Tz6xIXFAcb88y+f8Hy7/uvzsi24aWxTUlhmls&#10;0rMYA/kAIymjPoP1NV57sngxjHiMfU5cvX0E/tMTA/c9M1tx5xwMvWAt1lfEl9nF0wnHR5DN8AVa&#10;TMN2ARLQ2DkdxUM5CKJjnw7n3sRSOB6+r8r5opxTwjFWVHl1VabuZaw+PbfOh08CNImLhjpsfoJn&#10;+0cfYjmsPl2J2QyspVLJAMqQoaE3c8R/FdEyoD+V1A1d5HFMjoksP5o2PQ5MqmmNCZQ50o5MJ85h&#10;3IxJ4eqk5gbaA+rgYLIjfh9c9OB+UzKgFRvqf+2YE5Sozwa1vCmqKno3bar5NRIn7jKyuYwwwxGq&#10;oYGSaXkfkt8jMW/vUPO1TGrE5kyVHEtGiyWRjt8hevhyn279+bSrFwAAAP//AwBQSwMEFAAGAAgA&#10;AAAhAKUzx2XeAAAACgEAAA8AAABkcnMvZG93bnJldi54bWxMj8FOwzAQRO9I/IO1SNyoU9NAFeJU&#10;FWrLESgRZzdekoh4bdluGv4e5wS3Hc1o9k25mczARvShtyRhuciAITVW99RKqD/2d2tgISrSarCE&#10;En4wwKa6vipVoe2F3nE8xpalEgqFktDF6ArOQ9OhUWFhHVLyvqw3KibpW669uqRyM3CRZQ/cqJ7S&#10;h045fO6w+T6ejQQX3eHxxb++bXf7Mas/D7Xo252UtzfT9glYxCn+hWHGT+hQJaaTPZMObJCwXq7y&#10;FJWwSpNm/z6fr5MEIXIBvCr5/wnVLwAAAP//AwBQSwECLQAUAAYACAAAACEAtoM4kv4AAADhAQAA&#10;EwAAAAAAAAAAAAAAAAAAAAAAW0NvbnRlbnRfVHlwZXNdLnhtbFBLAQItABQABgAIAAAAIQA4/SH/&#10;1gAAAJQBAAALAAAAAAAAAAAAAAAAAC8BAABfcmVscy8ucmVsc1BLAQItABQABgAIAAAAIQAIIhKw&#10;EAIAAPwDAAAOAAAAAAAAAAAAAAAAAC4CAABkcnMvZTJvRG9jLnhtbFBLAQItABQABgAIAAAAIQCl&#10;M8dl3gAAAAoBAAAPAAAAAAAAAAAAAAAAAGoEAABkcnMvZG93bnJldi54bWxQSwUGAAAAAAQABADz&#10;AAAAdQUAAAAA&#10;" filled="f" stroked="f">
              <v:textbox style="mso-fit-shape-to-text:t">
                <w:txbxContent>
                  <w:p w14:paraId="1E7AC474" w14:textId="77777777" w:rsidR="00A95B4F" w:rsidRPr="002D4974" w:rsidRDefault="00A95B4F" w:rsidP="00A95B4F">
                    <w:pPr>
                      <w:pStyle w:val="Title"/>
                      <w:jc w:val="right"/>
                      <w:rPr>
                        <w:sz w:val="48"/>
                        <w:szCs w:val="48"/>
                      </w:rPr>
                    </w:pPr>
                    <w:r w:rsidRPr="002D4974">
                      <w:rPr>
                        <w:sz w:val="48"/>
                        <w:szCs w:val="48"/>
                      </w:rPr>
                      <w:t xml:space="preserve">Joint Council </w:t>
                    </w:r>
                    <w:r w:rsidRPr="002D4974">
                      <w:rPr>
                        <w:sz w:val="48"/>
                        <w:szCs w:val="48"/>
                      </w:rPr>
                      <w:br/>
                      <w:t>on Closing the Gap</w:t>
                    </w:r>
                  </w:p>
                </w:txbxContent>
              </v:textbox>
              <w10:wrap type="square" anchorx="margin"/>
            </v:shape>
          </w:pict>
        </mc:Fallback>
      </mc:AlternateContent>
    </w:r>
    <w:r w:rsidRPr="00C55FEB">
      <w:rPr>
        <w:rFonts w:ascii="Montserrat" w:hAnsi="Montserrat"/>
        <w:noProof/>
        <w:lang w:eastAsia="en-AU"/>
      </w:rPr>
      <mc:AlternateContent>
        <mc:Choice Requires="wps">
          <w:drawing>
            <wp:anchor distT="0" distB="0" distL="118745" distR="118745" simplePos="0" relativeHeight="251658752" behindDoc="1" locked="0" layoutInCell="1" allowOverlap="0" wp14:anchorId="23BB78E4" wp14:editId="6A1976C0">
              <wp:simplePos x="0" y="0"/>
              <wp:positionH relativeFrom="margin">
                <wp:posOffset>-1074420</wp:posOffset>
              </wp:positionH>
              <wp:positionV relativeFrom="page">
                <wp:posOffset>5715</wp:posOffset>
              </wp:positionV>
              <wp:extent cx="10665460" cy="161925"/>
              <wp:effectExtent l="0" t="0" r="2540" b="9525"/>
              <wp:wrapSquare wrapText="bothSides"/>
              <wp:docPr id="197" name="Rectangle 197"/>
              <wp:cNvGraphicFramePr/>
              <a:graphic xmlns:a="http://schemas.openxmlformats.org/drawingml/2006/main">
                <a:graphicData uri="http://schemas.microsoft.com/office/word/2010/wordprocessingShape">
                  <wps:wsp>
                    <wps:cNvSpPr/>
                    <wps:spPr>
                      <a:xfrm>
                        <a:off x="0" y="0"/>
                        <a:ext cx="10665460" cy="161925"/>
                      </a:xfrm>
                      <a:prstGeom prst="rect">
                        <a:avLst/>
                      </a:prstGeom>
                      <a:gradFill>
                        <a:gsLst>
                          <a:gs pos="0">
                            <a:srgbClr val="3F84C5"/>
                          </a:gs>
                          <a:gs pos="100000">
                            <a:srgbClr val="8AD2D5"/>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5DED56BF" w14:textId="77777777" w:rsidR="00C55FEB" w:rsidRDefault="00C55FEB"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3BB78E4" id="Rectangle 197" o:spid="_x0000_s1029" style="position:absolute;margin-left:-84.6pt;margin-top:.45pt;width:839.8pt;height:12.75pt;z-index:-25165772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J+twIAAPYFAAAOAAAAZHJzL2Uyb0RvYy54bWysVMlu2zAQvRfoPxC8N5Jcx0mMyIFhw0WB&#10;IAmyIGeaImUBFMmStCX36ztDLTGSXlLUB3lIvtneLNc3ba3IQThfGZ3T7CylRGhuikqXOX153ny7&#10;pMQHpgumjBY5PQpPbxZfv1w3di4mZmdUIRwBI9rPG5vTXQh2niSe70TN/JmxQsOjNK5mAY6uTArH&#10;GrBeq2SSprOkMa6wznDhPdyuu0e6iPalFDzcS+lFICqnEFuIXxe/W/wmi2s2Lx2zu4r3YbB/iKJm&#10;lQano6k1C4zsXfXBVF1xZ7yR4YybOjFSVlzEHCCbLH2XzdOOWRFzAXK8HWny/88svzs8OFIVULur&#10;C0o0q6FIj0Ab06USBC+Bosb6OSCf7IPrTx5EzLeVrsZ/yIS0kdbjSKtoA+FwmaWz2fl0BvRzeMxm&#10;2dXkHK0mb+rW+fBDmJqgkFMHAUQ62eHWhw46QHqWi02lVJQ9QDqBWAPUpFHTu3K7Uo4cGFT+++Zy&#10;uhp8lv4UnaX4+6hyuVxP1qcqEG05uFKVJkBQzNdzpgTwF3sJQY6NsSmNrrTBWLss8CZBOjsCoxSO&#10;SiBO6UchoRaRR7zwvE+ia9jO39C24CoqIFCC/U/q9iqoLeKcfFJ/VIr+jQ6jfl1p4zpCcYrFWAUV&#10;sr7sssMPVHQEIBeh3baxGydD221NcYQOdaYbXW/5poIeuWU+PDAHswptBfsn3MNHKtPk1PQSJTvj&#10;fv/tHvEwQvBKSQOzn1P/a8+coET91NBBV9l0issiHqbnFxM4uNOX7emL3tcrA02WwaazPIqID2oQ&#10;pTP1K6ypJXqFJ6Y5+M4pD244rEJXYlh0XCyXEQYLwrJwq58sR+PIM87Ac/vKnO0HJcCM3ZlhT7D5&#10;u3npsKipzXIfjKziMCHTHa99BWC5xHHsFyFur9NzRL2t68UfAAAA//8DAFBLAwQUAAYACAAAACEA&#10;TXQ7ON0AAAAJAQAADwAAAGRycy9kb3ducmV2LnhtbEyPQU+DQBSE7yb+h80z8dYuECSCPJqmSY0e&#10;bY3nLfsELPuWsFtAf73bkx4nM5n5ptwsphcTja6zjBCvIxDEtdUdNwjvx/3qEYTzirXqLRPCNznY&#10;VLc3pSq0nfmNpoNvRChhVyiE1vuhkNLVLRnl1nYgDt6nHY3yQY6N1KOaQ7npZRJFmTSq47DQqoF2&#10;LdXnw8UgfH3ofJfT9LxNz/PrfuqOzQv/IN7fLdsnEJ4W/xeGK35AhyowneyFtRM9wirO8iRkEXIQ&#10;V/8hjlIQJ4QkS0FWpfz/oPoFAAD//wMAUEsBAi0AFAAGAAgAAAAhALaDOJL+AAAA4QEAABMAAAAA&#10;AAAAAAAAAAAAAAAAAFtDb250ZW50X1R5cGVzXS54bWxQSwECLQAUAAYACAAAACEAOP0h/9YAAACU&#10;AQAACwAAAAAAAAAAAAAAAAAvAQAAX3JlbHMvLnJlbHNQSwECLQAUAAYACAAAACEAz3MifrcCAAD2&#10;BQAADgAAAAAAAAAAAAAAAAAuAgAAZHJzL2Uyb0RvYy54bWxQSwECLQAUAAYACAAAACEATXQ7ON0A&#10;AAAJAQAADwAAAAAAAAAAAAAAAAARBQAAZHJzL2Rvd25yZXYueG1sUEsFBgAAAAAEAAQA8wAAABsG&#10;AAAAAA==&#10;" o:allowoverlap="f" fillcolor="#3f84c5" stroked="f">
              <v:fill color2="#8ad2d5" angle="90" focus="100%" type="gradient">
                <o:fill v:ext="view" type="gradientUnscaled"/>
              </v:fill>
              <v:textbox>
                <w:txbxContent>
                  <w:p w14:paraId="5DED56BF" w14:textId="77777777" w:rsidR="00C55FEB" w:rsidRDefault="00C55FEB" w:rsidP="00C55FEB">
                    <w:pPr>
                      <w:pStyle w:val="Header"/>
                      <w:ind w:left="194" w:right="182"/>
                      <w:jc w:val="center"/>
                      <w:rPr>
                        <w:caps/>
                      </w:rPr>
                    </w:pPr>
                  </w:p>
                </w:txbxContent>
              </v:textbox>
              <w10:wrap type="square" anchorx="margin" anchory="page"/>
            </v:rect>
          </w:pict>
        </mc:Fallback>
      </mc:AlternateContent>
    </w:r>
    <w:r w:rsidR="001509C2">
      <w:rPr>
        <w:noProof/>
        <w:lang w:eastAsia="en-AU"/>
      </w:rPr>
      <w:drawing>
        <wp:inline distT="0" distB="0" distL="0" distR="0" wp14:anchorId="50028176" wp14:editId="54F33C20">
          <wp:extent cx="717550" cy="800100"/>
          <wp:effectExtent l="0" t="0" r="6350" b="0"/>
          <wp:docPr id="2" name="Picture 2" descr="Closing the gap logo"/>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7550" cy="800100"/>
                  </a:xfrm>
                  <a:prstGeom prst="rect">
                    <a:avLst/>
                  </a:prstGeom>
                </pic:spPr>
              </pic:pic>
            </a:graphicData>
          </a:graphic>
        </wp:inline>
      </w:drawing>
    </w:r>
  </w:p>
  <w:p w14:paraId="202A45D0" w14:textId="77777777" w:rsidR="00002AD2" w:rsidRPr="002D4974" w:rsidRDefault="00002AD2" w:rsidP="00002AD2">
    <w:pPr>
      <w:pStyle w:val="Header"/>
      <w:rPr>
        <w:sz w:val="8"/>
        <w:szCs w:val="8"/>
      </w:rPr>
    </w:pPr>
  </w:p>
  <w:p w14:paraId="10C50792" w14:textId="77777777" w:rsidR="00C55FEB" w:rsidRPr="00C55FEB" w:rsidRDefault="00002AD2"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9776" behindDoc="0" locked="0" layoutInCell="1" allowOverlap="1" wp14:anchorId="663F3276" wp14:editId="217FBE8C">
              <wp:simplePos x="0" y="0"/>
              <wp:positionH relativeFrom="margin">
                <wp:align>right</wp:align>
              </wp:positionH>
              <wp:positionV relativeFrom="paragraph">
                <wp:posOffset>25567</wp:posOffset>
              </wp:positionV>
              <wp:extent cx="6471332" cy="46721"/>
              <wp:effectExtent l="0" t="0" r="24765" b="29845"/>
              <wp:wrapNone/>
              <wp:docPr id="5" name="Straight Connector 5"/>
              <wp:cNvGraphicFramePr/>
              <a:graphic xmlns:a="http://schemas.openxmlformats.org/drawingml/2006/main">
                <a:graphicData uri="http://schemas.microsoft.com/office/word/2010/wordprocessingShape">
                  <wps:wsp>
                    <wps:cNvCnPr/>
                    <wps:spPr>
                      <a:xfrm flipV="1">
                        <a:off x="0" y="0"/>
                        <a:ext cx="6471332" cy="46721"/>
                      </a:xfrm>
                      <a:prstGeom prst="line">
                        <a:avLst/>
                      </a:prstGeom>
                      <a:ln>
                        <a:solidFill>
                          <a:srgbClr val="3F84C5"/>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09E8F" id="Straight Connector 5" o:spid="_x0000_s1026" style="position:absolute;flip:y;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35pt,2pt" to="96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HX4gEAABIEAAAOAAAAZHJzL2Uyb0RvYy54bWysU02P0zAQvSPxHyzfadKP7a6ipnvoqlwQ&#10;VCxwdx07seQvjU2T/nvGTppdAUICcbE89rw3857Hu8fBaHIREJSzNV0uSkqE5a5Rtq3p1y/Hdw+U&#10;hMhsw7SzoqZXEejj/u2bXe8rsXKd040AgiQ2VL2vaRejr4oi8E4YFhbOC4uX0oFhEUNoiwZYj+xG&#10;F6uy3Ba9g8aD4yIEPH0aL+k+80spePwkZRCR6JpibzGvkNdzWov9jlUtMN8pPrXB/qELw5TFojPV&#10;E4uMfAf1C5VRHFxwMi64M4WTUnGRNaCaZfmTmueOeZG1oDnBzzaF/0fLP15OQFRT0ztKLDP4RM8R&#10;mGq7SA7OWjTQAblLPvU+VJh+sCeYouBPkEQPEgyRWvlvOALZBhRGhuzydXZZDJFwPNxu7pfr9YoS&#10;jneb7f1qmdiLkSbReQjxvXCGpE1NtbLJBFaxy4cQx9RbSjrWNq3BadUcldY5gPZ80EAuDJ99fXzY&#10;HLICrPEqDaMELZKuUUnexasWI+1nIdEZ7HjUlGdSzLSMc2HjZupdW8xOMIktzMAy9/1H4JSfoCLP&#10;69+AZ0Su7GycwUZZB7+rHoeb3XLMvzkw6k4WnF1zzW+crcHBy68zfZI02a/jDH/5yvsfAAAA//8D&#10;AFBLAwQUAAYACAAAACEAdcnwodsAAAAGAQAADwAAAGRycy9kb3ducmV2LnhtbEyPQU/DMAyF70j8&#10;h8hI3FgaKDBK0wmGkBA3BpfdstY0LYlTNe7W/XuyE5z8rGe997lczd6JPY6xC6RBLTIQSHVoOmo1&#10;fH2+Xi1BRDbUGBcINRwxwqo6PytN0YQDfeB+w61IIRQLo8EyD4WUsbboTVyEASl532H0htM6trIZ&#10;zSGFeyevs+xOetNRarBmwLXF+mczeQ3v08vS9qrP35i37v75Zt1vb49aX17MT48gGGf+O4YTfkKH&#10;KjHtwkRNFE5DeoQ15GmczEw9KBC7pFQOsirlf/zqFwAA//8DAFBLAQItABQABgAIAAAAIQC2gziS&#10;/gAAAOEBAAATAAAAAAAAAAAAAAAAAAAAAABbQ29udGVudF9UeXBlc10ueG1sUEsBAi0AFAAGAAgA&#10;AAAhADj9If/WAAAAlAEAAAsAAAAAAAAAAAAAAAAALwEAAF9yZWxzLy5yZWxzUEsBAi0AFAAGAAgA&#10;AAAhADYHsdfiAQAAEgQAAA4AAAAAAAAAAAAAAAAALgIAAGRycy9lMm9Eb2MueG1sUEsBAi0AFAAG&#10;AAgAAAAhAHXJ8KHbAAAABgEAAA8AAAAAAAAAAAAAAAAAPAQAAGRycy9kb3ducmV2LnhtbFBLBQYA&#10;AAAABAAEAPMAAABEBQAAAAA=&#10;" strokecolor="#3f84c5" strokeweight=".5pt">
              <v:stroke joinstyle="miter"/>
              <w10:wrap anchorx="margin"/>
            </v:line>
          </w:pict>
        </mc:Fallback>
      </mc:AlternateContent>
    </w:r>
  </w:p>
  <w:p w14:paraId="71C018B2" w14:textId="77777777" w:rsidR="009672EB" w:rsidRDefault="009672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417B" w14:textId="77777777" w:rsidR="0038478A" w:rsidRPr="00B769C6" w:rsidRDefault="001E07F1" w:rsidP="0038478A">
    <w:pPr>
      <w:pStyle w:val="Header"/>
      <w:jc w:val="center"/>
      <w:rPr>
        <w:b w:val="0"/>
        <w:color w:val="FF0000"/>
      </w:rPr>
    </w:pPr>
    <w:sdt>
      <w:sdtPr>
        <w:rPr>
          <w:rFonts w:asciiTheme="minorHAnsi" w:hAnsiTheme="minorHAnsi"/>
          <w:b w:val="0"/>
          <w:color w:val="FF0000"/>
        </w:rPr>
        <w:alias w:val="Classification"/>
        <w:tag w:val="Classification"/>
        <w:id w:val="841050613"/>
        <w:dataBinding w:xpath="/root[1]/Classification[1]" w:storeItemID="{F533AE62-A212-4B26-92DA-A3B336E8AE06}"/>
        <w:text/>
      </w:sdtPr>
      <w:sdtEndPr/>
      <w:sdtContent>
        <w:r w:rsidR="0038478A">
          <w:rPr>
            <w:rFonts w:asciiTheme="minorHAnsi" w:hAnsiTheme="minorHAnsi"/>
            <w:b w:val="0"/>
            <w:color w:val="FF0000"/>
          </w:rPr>
          <w:t>OFFICIAL</w:t>
        </w:r>
      </w:sdtContent>
    </w:sdt>
  </w:p>
  <w:p w14:paraId="684F03D0" w14:textId="77777777" w:rsidR="00A7722D" w:rsidRDefault="00A7722D" w:rsidP="009672EB">
    <w:pPr>
      <w:pStyle w:val="ProtectiveMarking"/>
    </w:pPr>
  </w:p>
  <w:p w14:paraId="3A5235BA" w14:textId="6E66B436" w:rsidR="00A7722D" w:rsidRDefault="00A7722D">
    <w:pPr>
      <w:pStyle w:val="Header"/>
    </w:pPr>
    <w:r>
      <w:rPr>
        <w:noProof/>
        <w:lang w:eastAsia="en-AU"/>
      </w:rPr>
      <w:drawing>
        <wp:anchor distT="0" distB="0" distL="114300" distR="114300" simplePos="0" relativeHeight="251674112" behindDoc="0" locked="1" layoutInCell="1" allowOverlap="1" wp14:anchorId="6C4D49BD" wp14:editId="1EC08AFE">
          <wp:simplePos x="0" y="0"/>
          <wp:positionH relativeFrom="margin">
            <wp:posOffset>1144270</wp:posOffset>
          </wp:positionH>
          <wp:positionV relativeFrom="page">
            <wp:posOffset>516255</wp:posOffset>
          </wp:positionV>
          <wp:extent cx="6479540" cy="186690"/>
          <wp:effectExtent l="0" t="0" r="0" b="3810"/>
          <wp:wrapNone/>
          <wp:docPr id="10"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rcRect l="1617" t="1" b="-2"/>
                  <a:stretch/>
                </pic:blipFill>
                <pic:spPr bwMode="auto">
                  <a:xfrm>
                    <a:off x="0" y="0"/>
                    <a:ext cx="6479540" cy="186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E40160" w14:textId="729A4F86" w:rsidR="00A7722D" w:rsidRDefault="00A772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43CA" w14:textId="45F3D99D" w:rsidR="0038478A" w:rsidRPr="00B769C6" w:rsidRDefault="001E07F1" w:rsidP="0038478A">
    <w:pPr>
      <w:pStyle w:val="Header"/>
      <w:jc w:val="center"/>
      <w:rPr>
        <w:b w:val="0"/>
        <w:color w:val="FF0000"/>
      </w:rPr>
    </w:pPr>
    <w:sdt>
      <w:sdtPr>
        <w:rPr>
          <w:rFonts w:asciiTheme="minorHAnsi" w:hAnsiTheme="minorHAnsi"/>
          <w:b w:val="0"/>
          <w:color w:val="FF0000"/>
        </w:rPr>
        <w:alias w:val="Classification"/>
        <w:tag w:val="Classification"/>
        <w:id w:val="475493710"/>
        <w:dataBinding w:xpath="/root[1]/Classification[1]" w:storeItemID="{F533AE62-A212-4B26-92DA-A3B336E8AE06}"/>
        <w:text/>
      </w:sdtPr>
      <w:sdtEndPr/>
      <w:sdtContent>
        <w:r w:rsidR="0038478A">
          <w:rPr>
            <w:rFonts w:asciiTheme="minorHAnsi" w:hAnsiTheme="minorHAnsi"/>
            <w:b w:val="0"/>
            <w:color w:val="FF0000"/>
          </w:rPr>
          <w:t>OFFICIAL</w:t>
        </w:r>
      </w:sdtContent>
    </w:sdt>
  </w:p>
  <w:p w14:paraId="379F2639" w14:textId="108564D7" w:rsidR="00A7722D" w:rsidRDefault="0038478A" w:rsidP="0038478A">
    <w:pPr>
      <w:pStyle w:val="Header"/>
      <w:spacing w:after="120"/>
    </w:pPr>
    <w:r>
      <w:rPr>
        <w:noProof/>
        <w:lang w:eastAsia="en-AU"/>
      </w:rPr>
      <w:t xml:space="preserve"> </w:t>
    </w:r>
    <w:r w:rsidR="00A7722D">
      <w:rPr>
        <w:noProof/>
        <w:lang w:eastAsia="en-AU"/>
      </w:rPr>
      <w:drawing>
        <wp:anchor distT="0" distB="0" distL="114300" distR="114300" simplePos="0" relativeHeight="251670016" behindDoc="0" locked="1" layoutInCell="1" allowOverlap="1" wp14:anchorId="2CBC6B1B" wp14:editId="09AC12A1">
          <wp:simplePos x="0" y="0"/>
          <wp:positionH relativeFrom="margin">
            <wp:posOffset>1056005</wp:posOffset>
          </wp:positionH>
          <wp:positionV relativeFrom="page">
            <wp:posOffset>511810</wp:posOffset>
          </wp:positionV>
          <wp:extent cx="6479540" cy="186690"/>
          <wp:effectExtent l="0" t="0" r="0" b="3810"/>
          <wp:wrapNone/>
          <wp:docPr id="9"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rcRect l="1617" t="1" b="-2"/>
                  <a:stretch/>
                </pic:blipFill>
                <pic:spPr bwMode="auto">
                  <a:xfrm>
                    <a:off x="0" y="0"/>
                    <a:ext cx="6479540" cy="186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8A2A60" w14:textId="77777777" w:rsidR="00A7722D" w:rsidRPr="002D4974" w:rsidRDefault="00A7722D" w:rsidP="00002AD2">
    <w:pPr>
      <w:pStyle w:val="Header"/>
      <w:rPr>
        <w:sz w:val="8"/>
        <w:szCs w:val="8"/>
      </w:rPr>
    </w:pPr>
  </w:p>
  <w:p w14:paraId="2288A4A1" w14:textId="77777777" w:rsidR="00A7722D" w:rsidRPr="00C55FEB" w:rsidRDefault="00A7722D" w:rsidP="00002AD2">
    <w:pPr>
      <w:pStyle w:val="Header"/>
      <w:rPr>
        <w:rFonts w:ascii="Montserrat" w:hAnsi="Montserrat"/>
      </w:rPr>
    </w:pPr>
  </w:p>
  <w:p w14:paraId="6F2082C9" w14:textId="77777777" w:rsidR="00A7722D" w:rsidRDefault="00A77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6E53EF8"/>
    <w:multiLevelType w:val="multilevel"/>
    <w:tmpl w:val="A030FD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10716844"/>
    <w:multiLevelType w:val="hybridMultilevel"/>
    <w:tmpl w:val="A4BE74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A6089"/>
    <w:multiLevelType w:val="hybridMultilevel"/>
    <w:tmpl w:val="892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D67973"/>
    <w:multiLevelType w:val="hybridMultilevel"/>
    <w:tmpl w:val="8ACC2448"/>
    <w:lvl w:ilvl="0" w:tplc="3FEA6810">
      <w:start w:val="1"/>
      <w:numFmt w:val="upperLetter"/>
      <w:lvlText w:val="%1."/>
      <w:lvlJc w:val="left"/>
      <w:pPr>
        <w:ind w:left="643" w:hanging="360"/>
      </w:pPr>
      <w:rPr>
        <w:b w:val="0"/>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7"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9"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1"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2"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4" w15:restartNumberingAfterBreak="0">
    <w:nsid w:val="7B69435E"/>
    <w:multiLevelType w:val="hybridMultilevel"/>
    <w:tmpl w:val="37A407DC"/>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abstractNumId w:val="4"/>
  </w:num>
  <w:num w:numId="2">
    <w:abstractNumId w:val="9"/>
  </w:num>
  <w:num w:numId="3">
    <w:abstractNumId w:val="7"/>
  </w:num>
  <w:num w:numId="4">
    <w:abstractNumId w:val="12"/>
  </w:num>
  <w:num w:numId="5">
    <w:abstractNumId w:val="10"/>
  </w:num>
  <w:num w:numId="6">
    <w:abstractNumId w:val="9"/>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7"/>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7"/>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7"/>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7"/>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10"/>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10"/>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7"/>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7"/>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2"/>
  </w:num>
  <w:num w:numId="18">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8"/>
  </w:num>
  <w:num w:numId="20">
    <w:abstractNumId w:val="13"/>
  </w:num>
  <w:num w:numId="21">
    <w:abstractNumId w:val="0"/>
  </w:num>
  <w:num w:numId="22">
    <w:abstractNumId w:val="11"/>
  </w:num>
  <w:num w:numId="23">
    <w:abstractNumId w:val="11"/>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7"/>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7"/>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7"/>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abstractNumId w:val="14"/>
  </w:num>
  <w:num w:numId="28">
    <w:abstractNumId w:val="6"/>
  </w:num>
  <w:num w:numId="29">
    <w:abstractNumId w:val="5"/>
  </w:num>
  <w:num w:numId="30">
    <w:abstractNumId w:val="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4F"/>
    <w:rsid w:val="00000505"/>
    <w:rsid w:val="000028E7"/>
    <w:rsid w:val="00002AD2"/>
    <w:rsid w:val="00002F73"/>
    <w:rsid w:val="00007EB1"/>
    <w:rsid w:val="00014206"/>
    <w:rsid w:val="000230F3"/>
    <w:rsid w:val="00023AC4"/>
    <w:rsid w:val="000304B2"/>
    <w:rsid w:val="00031B5C"/>
    <w:rsid w:val="00034193"/>
    <w:rsid w:val="00034FEC"/>
    <w:rsid w:val="000407C0"/>
    <w:rsid w:val="0004082F"/>
    <w:rsid w:val="00042E89"/>
    <w:rsid w:val="00044BF9"/>
    <w:rsid w:val="000503A6"/>
    <w:rsid w:val="00053CD9"/>
    <w:rsid w:val="00057B46"/>
    <w:rsid w:val="00063034"/>
    <w:rsid w:val="00073D52"/>
    <w:rsid w:val="000756F7"/>
    <w:rsid w:val="00076AD1"/>
    <w:rsid w:val="000803CA"/>
    <w:rsid w:val="00091BCD"/>
    <w:rsid w:val="0009265A"/>
    <w:rsid w:val="00093C86"/>
    <w:rsid w:val="00094B02"/>
    <w:rsid w:val="0009590F"/>
    <w:rsid w:val="00095BF3"/>
    <w:rsid w:val="000A041E"/>
    <w:rsid w:val="000A08CA"/>
    <w:rsid w:val="000A0E4C"/>
    <w:rsid w:val="000D106A"/>
    <w:rsid w:val="000D113F"/>
    <w:rsid w:val="000E351D"/>
    <w:rsid w:val="000E60F7"/>
    <w:rsid w:val="000F1B86"/>
    <w:rsid w:val="000F23B0"/>
    <w:rsid w:val="000F5917"/>
    <w:rsid w:val="001007B9"/>
    <w:rsid w:val="00105ECB"/>
    <w:rsid w:val="001205C8"/>
    <w:rsid w:val="00131315"/>
    <w:rsid w:val="00132268"/>
    <w:rsid w:val="001336CF"/>
    <w:rsid w:val="00143288"/>
    <w:rsid w:val="001509C2"/>
    <w:rsid w:val="0015537B"/>
    <w:rsid w:val="0016781C"/>
    <w:rsid w:val="001727AF"/>
    <w:rsid w:val="00176EA5"/>
    <w:rsid w:val="00177611"/>
    <w:rsid w:val="0017798C"/>
    <w:rsid w:val="001809C6"/>
    <w:rsid w:val="001813AE"/>
    <w:rsid w:val="00181C56"/>
    <w:rsid w:val="001850CB"/>
    <w:rsid w:val="001953CF"/>
    <w:rsid w:val="00195BA8"/>
    <w:rsid w:val="001A1957"/>
    <w:rsid w:val="001A2F86"/>
    <w:rsid w:val="001A4822"/>
    <w:rsid w:val="001B0144"/>
    <w:rsid w:val="001B10ED"/>
    <w:rsid w:val="001C2FC8"/>
    <w:rsid w:val="001D283B"/>
    <w:rsid w:val="001D3457"/>
    <w:rsid w:val="001E07F1"/>
    <w:rsid w:val="001E4245"/>
    <w:rsid w:val="001F0654"/>
    <w:rsid w:val="001F3722"/>
    <w:rsid w:val="001F738E"/>
    <w:rsid w:val="0020007C"/>
    <w:rsid w:val="0021247A"/>
    <w:rsid w:val="002229A5"/>
    <w:rsid w:val="002317BD"/>
    <w:rsid w:val="00231B22"/>
    <w:rsid w:val="00234705"/>
    <w:rsid w:val="00237365"/>
    <w:rsid w:val="00245F48"/>
    <w:rsid w:val="00250BE6"/>
    <w:rsid w:val="00252F38"/>
    <w:rsid w:val="00260C56"/>
    <w:rsid w:val="00264A5E"/>
    <w:rsid w:val="00271572"/>
    <w:rsid w:val="00277016"/>
    <w:rsid w:val="0027769C"/>
    <w:rsid w:val="00280DB4"/>
    <w:rsid w:val="00281E3E"/>
    <w:rsid w:val="00284710"/>
    <w:rsid w:val="00294D1D"/>
    <w:rsid w:val="002955DD"/>
    <w:rsid w:val="002A0289"/>
    <w:rsid w:val="002A371E"/>
    <w:rsid w:val="002B4B0A"/>
    <w:rsid w:val="002C0866"/>
    <w:rsid w:val="002C5F5B"/>
    <w:rsid w:val="002C777D"/>
    <w:rsid w:val="002D40B1"/>
    <w:rsid w:val="002D45CD"/>
    <w:rsid w:val="002D4974"/>
    <w:rsid w:val="002D75F9"/>
    <w:rsid w:val="002E07AC"/>
    <w:rsid w:val="002E6AA1"/>
    <w:rsid w:val="002F57C6"/>
    <w:rsid w:val="00307A69"/>
    <w:rsid w:val="00312E4A"/>
    <w:rsid w:val="0031546F"/>
    <w:rsid w:val="00316B0D"/>
    <w:rsid w:val="003300DB"/>
    <w:rsid w:val="0033088D"/>
    <w:rsid w:val="00335425"/>
    <w:rsid w:val="003371F0"/>
    <w:rsid w:val="00342E49"/>
    <w:rsid w:val="00345B55"/>
    <w:rsid w:val="003500C6"/>
    <w:rsid w:val="0035641C"/>
    <w:rsid w:val="00363AE5"/>
    <w:rsid w:val="0038478A"/>
    <w:rsid w:val="003848EF"/>
    <w:rsid w:val="00385B65"/>
    <w:rsid w:val="00391929"/>
    <w:rsid w:val="00392123"/>
    <w:rsid w:val="003A3E57"/>
    <w:rsid w:val="003B5A05"/>
    <w:rsid w:val="003C6961"/>
    <w:rsid w:val="003D21A3"/>
    <w:rsid w:val="003D33F7"/>
    <w:rsid w:val="003E025A"/>
    <w:rsid w:val="003E2924"/>
    <w:rsid w:val="003E6B8B"/>
    <w:rsid w:val="003F017E"/>
    <w:rsid w:val="003F17BC"/>
    <w:rsid w:val="003F1A1E"/>
    <w:rsid w:val="003F5F4B"/>
    <w:rsid w:val="003F7E70"/>
    <w:rsid w:val="0040648D"/>
    <w:rsid w:val="00414CEB"/>
    <w:rsid w:val="004158C9"/>
    <w:rsid w:val="004163FA"/>
    <w:rsid w:val="00423E92"/>
    <w:rsid w:val="004257F1"/>
    <w:rsid w:val="004366AE"/>
    <w:rsid w:val="0044371A"/>
    <w:rsid w:val="00454696"/>
    <w:rsid w:val="004616FF"/>
    <w:rsid w:val="004759ED"/>
    <w:rsid w:val="004945F7"/>
    <w:rsid w:val="004957BB"/>
    <w:rsid w:val="00497F14"/>
    <w:rsid w:val="004B2CB0"/>
    <w:rsid w:val="004B7B8B"/>
    <w:rsid w:val="004C18F6"/>
    <w:rsid w:val="004C6518"/>
    <w:rsid w:val="004D0B40"/>
    <w:rsid w:val="004D24EB"/>
    <w:rsid w:val="004D688C"/>
    <w:rsid w:val="004E2293"/>
    <w:rsid w:val="004E58AE"/>
    <w:rsid w:val="004F20A9"/>
    <w:rsid w:val="004F73E8"/>
    <w:rsid w:val="00506DDB"/>
    <w:rsid w:val="0051316F"/>
    <w:rsid w:val="00523958"/>
    <w:rsid w:val="0053301E"/>
    <w:rsid w:val="005370B2"/>
    <w:rsid w:val="005400C8"/>
    <w:rsid w:val="00543E44"/>
    <w:rsid w:val="00543FDE"/>
    <w:rsid w:val="00552197"/>
    <w:rsid w:val="00552F1C"/>
    <w:rsid w:val="00562166"/>
    <w:rsid w:val="00574F28"/>
    <w:rsid w:val="00576C8D"/>
    <w:rsid w:val="0058793B"/>
    <w:rsid w:val="005917FA"/>
    <w:rsid w:val="00596D03"/>
    <w:rsid w:val="005A0DE7"/>
    <w:rsid w:val="005A355D"/>
    <w:rsid w:val="005B210C"/>
    <w:rsid w:val="005B241C"/>
    <w:rsid w:val="005B27D0"/>
    <w:rsid w:val="005C7655"/>
    <w:rsid w:val="005C7C79"/>
    <w:rsid w:val="005D1BC5"/>
    <w:rsid w:val="005D2D7A"/>
    <w:rsid w:val="005D7026"/>
    <w:rsid w:val="005F3D48"/>
    <w:rsid w:val="005F79CC"/>
    <w:rsid w:val="00602577"/>
    <w:rsid w:val="00603EA6"/>
    <w:rsid w:val="00603FC1"/>
    <w:rsid w:val="0061381E"/>
    <w:rsid w:val="006159CC"/>
    <w:rsid w:val="006173D0"/>
    <w:rsid w:val="006201D7"/>
    <w:rsid w:val="006208C6"/>
    <w:rsid w:val="006267BF"/>
    <w:rsid w:val="00626CA4"/>
    <w:rsid w:val="0062796C"/>
    <w:rsid w:val="006427AA"/>
    <w:rsid w:val="006429D7"/>
    <w:rsid w:val="006454DC"/>
    <w:rsid w:val="00657D2D"/>
    <w:rsid w:val="00661E36"/>
    <w:rsid w:val="00663E60"/>
    <w:rsid w:val="00663EAD"/>
    <w:rsid w:val="006674FC"/>
    <w:rsid w:val="006719C9"/>
    <w:rsid w:val="00675B34"/>
    <w:rsid w:val="00682080"/>
    <w:rsid w:val="00684ABF"/>
    <w:rsid w:val="00685BF1"/>
    <w:rsid w:val="00692AE7"/>
    <w:rsid w:val="00697A16"/>
    <w:rsid w:val="00697F67"/>
    <w:rsid w:val="006A131D"/>
    <w:rsid w:val="006A2795"/>
    <w:rsid w:val="006A39D8"/>
    <w:rsid w:val="006A72D0"/>
    <w:rsid w:val="006B0488"/>
    <w:rsid w:val="006B089B"/>
    <w:rsid w:val="006B3301"/>
    <w:rsid w:val="006B56FC"/>
    <w:rsid w:val="006C0869"/>
    <w:rsid w:val="006C7B63"/>
    <w:rsid w:val="006D16A1"/>
    <w:rsid w:val="006E086B"/>
    <w:rsid w:val="006E2EA3"/>
    <w:rsid w:val="006E350F"/>
    <w:rsid w:val="006E70FF"/>
    <w:rsid w:val="006F173B"/>
    <w:rsid w:val="006F300C"/>
    <w:rsid w:val="007028DA"/>
    <w:rsid w:val="00711110"/>
    <w:rsid w:val="00714808"/>
    <w:rsid w:val="00714E79"/>
    <w:rsid w:val="007239F8"/>
    <w:rsid w:val="00753B4D"/>
    <w:rsid w:val="00754949"/>
    <w:rsid w:val="007660B9"/>
    <w:rsid w:val="0078041D"/>
    <w:rsid w:val="00780AC4"/>
    <w:rsid w:val="00781797"/>
    <w:rsid w:val="007836C4"/>
    <w:rsid w:val="007956C4"/>
    <w:rsid w:val="007A27C5"/>
    <w:rsid w:val="007A52E1"/>
    <w:rsid w:val="007A6FC6"/>
    <w:rsid w:val="007C3F60"/>
    <w:rsid w:val="007D680C"/>
    <w:rsid w:val="007F7FED"/>
    <w:rsid w:val="008051C4"/>
    <w:rsid w:val="00805B42"/>
    <w:rsid w:val="00806393"/>
    <w:rsid w:val="0081512D"/>
    <w:rsid w:val="00817B50"/>
    <w:rsid w:val="00820E0F"/>
    <w:rsid w:val="00825410"/>
    <w:rsid w:val="008275B9"/>
    <w:rsid w:val="0083261D"/>
    <w:rsid w:val="00832D89"/>
    <w:rsid w:val="0083503B"/>
    <w:rsid w:val="00840865"/>
    <w:rsid w:val="00841D41"/>
    <w:rsid w:val="008436AB"/>
    <w:rsid w:val="00844739"/>
    <w:rsid w:val="0084486B"/>
    <w:rsid w:val="0086151D"/>
    <w:rsid w:val="0086672B"/>
    <w:rsid w:val="008668C0"/>
    <w:rsid w:val="008678C1"/>
    <w:rsid w:val="00873DED"/>
    <w:rsid w:val="00877425"/>
    <w:rsid w:val="008777F4"/>
    <w:rsid w:val="00880786"/>
    <w:rsid w:val="008A6759"/>
    <w:rsid w:val="008B13B1"/>
    <w:rsid w:val="008B493F"/>
    <w:rsid w:val="008C115E"/>
    <w:rsid w:val="008D0504"/>
    <w:rsid w:val="008D1256"/>
    <w:rsid w:val="008D275A"/>
    <w:rsid w:val="008E109E"/>
    <w:rsid w:val="008E66E6"/>
    <w:rsid w:val="008F112A"/>
    <w:rsid w:val="00900D4B"/>
    <w:rsid w:val="009014BC"/>
    <w:rsid w:val="00902CAC"/>
    <w:rsid w:val="009036CA"/>
    <w:rsid w:val="00917F95"/>
    <w:rsid w:val="00923EDF"/>
    <w:rsid w:val="00935AD4"/>
    <w:rsid w:val="00937CE1"/>
    <w:rsid w:val="0094513B"/>
    <w:rsid w:val="0094688C"/>
    <w:rsid w:val="00957258"/>
    <w:rsid w:val="00963FB3"/>
    <w:rsid w:val="009672EB"/>
    <w:rsid w:val="00973090"/>
    <w:rsid w:val="0099436F"/>
    <w:rsid w:val="009959E0"/>
    <w:rsid w:val="00996BEA"/>
    <w:rsid w:val="009A33FB"/>
    <w:rsid w:val="009A5056"/>
    <w:rsid w:val="009B1A44"/>
    <w:rsid w:val="009B300F"/>
    <w:rsid w:val="009B4379"/>
    <w:rsid w:val="009D161E"/>
    <w:rsid w:val="009F5D36"/>
    <w:rsid w:val="009F751D"/>
    <w:rsid w:val="00A00EF2"/>
    <w:rsid w:val="00A069F9"/>
    <w:rsid w:val="00A07F0E"/>
    <w:rsid w:val="00A10AC2"/>
    <w:rsid w:val="00A173EC"/>
    <w:rsid w:val="00A17F9A"/>
    <w:rsid w:val="00A3076D"/>
    <w:rsid w:val="00A346CA"/>
    <w:rsid w:val="00A477A0"/>
    <w:rsid w:val="00A47C07"/>
    <w:rsid w:val="00A50BDE"/>
    <w:rsid w:val="00A5524F"/>
    <w:rsid w:val="00A61711"/>
    <w:rsid w:val="00A62F19"/>
    <w:rsid w:val="00A63A3E"/>
    <w:rsid w:val="00A66C34"/>
    <w:rsid w:val="00A73CFD"/>
    <w:rsid w:val="00A7722D"/>
    <w:rsid w:val="00A77E87"/>
    <w:rsid w:val="00A80863"/>
    <w:rsid w:val="00A81616"/>
    <w:rsid w:val="00A8365E"/>
    <w:rsid w:val="00A9488D"/>
    <w:rsid w:val="00A94E35"/>
    <w:rsid w:val="00A95355"/>
    <w:rsid w:val="00A95B4F"/>
    <w:rsid w:val="00AB350C"/>
    <w:rsid w:val="00AB3C78"/>
    <w:rsid w:val="00AC1AA3"/>
    <w:rsid w:val="00AC4EB2"/>
    <w:rsid w:val="00AC7F21"/>
    <w:rsid w:val="00AD0F94"/>
    <w:rsid w:val="00AD70ED"/>
    <w:rsid w:val="00AE0E38"/>
    <w:rsid w:val="00AE11C4"/>
    <w:rsid w:val="00AE297B"/>
    <w:rsid w:val="00AE58D5"/>
    <w:rsid w:val="00AE58F8"/>
    <w:rsid w:val="00AE6686"/>
    <w:rsid w:val="00AF7794"/>
    <w:rsid w:val="00B0259B"/>
    <w:rsid w:val="00B06546"/>
    <w:rsid w:val="00B13055"/>
    <w:rsid w:val="00B1619E"/>
    <w:rsid w:val="00B20601"/>
    <w:rsid w:val="00B24D0A"/>
    <w:rsid w:val="00B3317D"/>
    <w:rsid w:val="00B36583"/>
    <w:rsid w:val="00B37705"/>
    <w:rsid w:val="00B455C1"/>
    <w:rsid w:val="00B53058"/>
    <w:rsid w:val="00B83B2F"/>
    <w:rsid w:val="00B87E45"/>
    <w:rsid w:val="00B95533"/>
    <w:rsid w:val="00BB0F68"/>
    <w:rsid w:val="00BB1FFF"/>
    <w:rsid w:val="00BB2567"/>
    <w:rsid w:val="00BC24CA"/>
    <w:rsid w:val="00BD113A"/>
    <w:rsid w:val="00BD2B9F"/>
    <w:rsid w:val="00BD35B3"/>
    <w:rsid w:val="00BD3DA8"/>
    <w:rsid w:val="00BD45D5"/>
    <w:rsid w:val="00BE64F3"/>
    <w:rsid w:val="00C00697"/>
    <w:rsid w:val="00C0095A"/>
    <w:rsid w:val="00C0771B"/>
    <w:rsid w:val="00C16384"/>
    <w:rsid w:val="00C241A5"/>
    <w:rsid w:val="00C464A7"/>
    <w:rsid w:val="00C511C3"/>
    <w:rsid w:val="00C51C42"/>
    <w:rsid w:val="00C52329"/>
    <w:rsid w:val="00C55FEB"/>
    <w:rsid w:val="00C5771B"/>
    <w:rsid w:val="00C57F4E"/>
    <w:rsid w:val="00C66A73"/>
    <w:rsid w:val="00C67AA6"/>
    <w:rsid w:val="00C74753"/>
    <w:rsid w:val="00C80CAE"/>
    <w:rsid w:val="00C86AD9"/>
    <w:rsid w:val="00C86F22"/>
    <w:rsid w:val="00C91A83"/>
    <w:rsid w:val="00C9650F"/>
    <w:rsid w:val="00C9741E"/>
    <w:rsid w:val="00CA33C7"/>
    <w:rsid w:val="00CB2C58"/>
    <w:rsid w:val="00CB38A3"/>
    <w:rsid w:val="00CB3B70"/>
    <w:rsid w:val="00CB4266"/>
    <w:rsid w:val="00CC1475"/>
    <w:rsid w:val="00CC6B7E"/>
    <w:rsid w:val="00CD4778"/>
    <w:rsid w:val="00CD5CC1"/>
    <w:rsid w:val="00CD730D"/>
    <w:rsid w:val="00CE1635"/>
    <w:rsid w:val="00CF0D33"/>
    <w:rsid w:val="00CF7819"/>
    <w:rsid w:val="00D171A8"/>
    <w:rsid w:val="00D249FB"/>
    <w:rsid w:val="00D337F3"/>
    <w:rsid w:val="00D41A54"/>
    <w:rsid w:val="00D4602A"/>
    <w:rsid w:val="00D4643A"/>
    <w:rsid w:val="00D46EB7"/>
    <w:rsid w:val="00D52159"/>
    <w:rsid w:val="00D534CB"/>
    <w:rsid w:val="00D54C52"/>
    <w:rsid w:val="00D54CE5"/>
    <w:rsid w:val="00D55E22"/>
    <w:rsid w:val="00D611A9"/>
    <w:rsid w:val="00D620F7"/>
    <w:rsid w:val="00D621F3"/>
    <w:rsid w:val="00D9012E"/>
    <w:rsid w:val="00D90897"/>
    <w:rsid w:val="00D93BE5"/>
    <w:rsid w:val="00DA3036"/>
    <w:rsid w:val="00DB015B"/>
    <w:rsid w:val="00DB20CE"/>
    <w:rsid w:val="00DB35E7"/>
    <w:rsid w:val="00DB5E67"/>
    <w:rsid w:val="00DB6F16"/>
    <w:rsid w:val="00DC3380"/>
    <w:rsid w:val="00DD0291"/>
    <w:rsid w:val="00DD6C35"/>
    <w:rsid w:val="00DE193D"/>
    <w:rsid w:val="00DE710F"/>
    <w:rsid w:val="00DE7EED"/>
    <w:rsid w:val="00E02E5D"/>
    <w:rsid w:val="00E14B90"/>
    <w:rsid w:val="00E23B18"/>
    <w:rsid w:val="00E36EF5"/>
    <w:rsid w:val="00E401B3"/>
    <w:rsid w:val="00E46F31"/>
    <w:rsid w:val="00E50185"/>
    <w:rsid w:val="00E578B7"/>
    <w:rsid w:val="00E63231"/>
    <w:rsid w:val="00E7329A"/>
    <w:rsid w:val="00E73F85"/>
    <w:rsid w:val="00E76451"/>
    <w:rsid w:val="00E8016F"/>
    <w:rsid w:val="00E80E52"/>
    <w:rsid w:val="00E816CE"/>
    <w:rsid w:val="00E87010"/>
    <w:rsid w:val="00E90FB5"/>
    <w:rsid w:val="00EA0688"/>
    <w:rsid w:val="00EA19B4"/>
    <w:rsid w:val="00EB25EA"/>
    <w:rsid w:val="00EC0059"/>
    <w:rsid w:val="00EC68DB"/>
    <w:rsid w:val="00ED0CB2"/>
    <w:rsid w:val="00ED334F"/>
    <w:rsid w:val="00EE08F2"/>
    <w:rsid w:val="00EE1DD7"/>
    <w:rsid w:val="00EF125F"/>
    <w:rsid w:val="00EF2497"/>
    <w:rsid w:val="00EF38A6"/>
    <w:rsid w:val="00F017E0"/>
    <w:rsid w:val="00F03B20"/>
    <w:rsid w:val="00F065A0"/>
    <w:rsid w:val="00F21C70"/>
    <w:rsid w:val="00F26D11"/>
    <w:rsid w:val="00F27CBE"/>
    <w:rsid w:val="00F4121E"/>
    <w:rsid w:val="00F4212B"/>
    <w:rsid w:val="00F46D66"/>
    <w:rsid w:val="00F4704F"/>
    <w:rsid w:val="00F50EE3"/>
    <w:rsid w:val="00F651C4"/>
    <w:rsid w:val="00F7682E"/>
    <w:rsid w:val="00F92C57"/>
    <w:rsid w:val="00F9344F"/>
    <w:rsid w:val="00F97B14"/>
    <w:rsid w:val="00FB20C4"/>
    <w:rsid w:val="00FB3A94"/>
    <w:rsid w:val="00FB3C96"/>
    <w:rsid w:val="00FB60EF"/>
    <w:rsid w:val="00FC3D4F"/>
    <w:rsid w:val="00FC49FB"/>
    <w:rsid w:val="00FC5756"/>
    <w:rsid w:val="00FC7592"/>
    <w:rsid w:val="00FD659E"/>
    <w:rsid w:val="00FE6A0D"/>
    <w:rsid w:val="00FE7253"/>
    <w:rsid w:val="00FF2D86"/>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08265"/>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E36EF5"/>
    <w:pPr>
      <w:keepNext/>
      <w:keepLines/>
      <w:outlineLvl w:val="0"/>
    </w:pPr>
    <w:rPr>
      <w:rFonts w:ascii="Montserrat" w:hAnsi="Montserrat"/>
      <w:color w:val="F4953C"/>
      <w:sz w:val="60"/>
      <w:szCs w:val="60"/>
    </w:rPr>
  </w:style>
  <w:style w:type="paragraph" w:styleId="Heading2">
    <w:name w:val="heading 2"/>
    <w:basedOn w:val="Normal"/>
    <w:next w:val="BodyText"/>
    <w:link w:val="Heading2Char"/>
    <w:uiPriority w:val="9"/>
    <w:unhideWhenUsed/>
    <w:qFormat/>
    <w:rsid w:val="00AD70ED"/>
    <w:pPr>
      <w:keepNext/>
      <w:keepLines/>
      <w:spacing w:before="480" w:after="240"/>
      <w:outlineLvl w:val="1"/>
    </w:pPr>
    <w:rPr>
      <w:rFonts w:ascii="Montserrat" w:eastAsiaTheme="majorEastAsia" w:hAnsi="Montserrat" w:cstheme="majorBidi"/>
      <w:color w:val="F4953C"/>
      <w:sz w:val="40"/>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E36EF5"/>
    <w:rPr>
      <w:rFonts w:ascii="Montserrat" w:hAnsi="Montserrat"/>
      <w:color w:val="F4953C"/>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2"/>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AD70ED"/>
    <w:rPr>
      <w:rFonts w:ascii="Montserrat" w:eastAsiaTheme="majorEastAsia" w:hAnsi="Montserrat" w:cstheme="majorBidi"/>
      <w:color w:val="F4953C"/>
      <w:sz w:val="40"/>
      <w:szCs w:val="40"/>
    </w:rPr>
  </w:style>
  <w:style w:type="paragraph" w:customStyle="1" w:styleId="NumberedListlvl1">
    <w:name w:val="Numbered List lvl1"/>
    <w:basedOn w:val="ListParagraph"/>
    <w:uiPriority w:val="9"/>
    <w:qFormat/>
    <w:rsid w:val="009F5D36"/>
    <w:pPr>
      <w:numPr>
        <w:numId w:val="22"/>
      </w:numPr>
      <w:spacing w:after="0"/>
      <w:contextualSpacing w:val="0"/>
    </w:pPr>
    <w:rPr>
      <w:rFonts w:ascii="Arial" w:hAnsi="Arial"/>
    </w:rPr>
  </w:style>
  <w:style w:type="paragraph" w:customStyle="1" w:styleId="BulletedListlvl1">
    <w:name w:val="Bulleted List lvl1"/>
    <w:uiPriority w:val="10"/>
    <w:qFormat/>
    <w:rsid w:val="009F5D36"/>
    <w:pPr>
      <w:numPr>
        <w:numId w:val="5"/>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35641C"/>
    <w:rPr>
      <w:rFonts w:ascii="Arial" w:hAnsi="Arial"/>
    </w:rPr>
  </w:style>
  <w:style w:type="character" w:customStyle="1" w:styleId="BodyTextChar">
    <w:name w:val="Body Text Char"/>
    <w:basedOn w:val="DefaultParagraphFont"/>
    <w:link w:val="BodyText"/>
    <w:rsid w:val="0035641C"/>
    <w:rPr>
      <w:rFonts w:ascii="Arial" w:hAnsi="Arial"/>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3"/>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sz w:val="24"/>
      <w:szCs w:val="24"/>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2D4974"/>
    <w:rPr>
      <w:b/>
      <w:color w:val="3F84C5"/>
    </w:rPr>
  </w:style>
  <w:style w:type="character" w:customStyle="1" w:styleId="TitleChar">
    <w:name w:val="Title Char"/>
    <w:basedOn w:val="DefaultParagraphFont"/>
    <w:link w:val="Title"/>
    <w:rsid w:val="002D4974"/>
    <w:rPr>
      <w:rFonts w:ascii="Montserrat" w:hAnsi="Montserrat"/>
      <w:b/>
      <w:color w:val="3F84C5"/>
      <w:sz w:val="60"/>
      <w:szCs w:val="60"/>
    </w:rPr>
  </w:style>
  <w:style w:type="paragraph" w:styleId="Subtitle">
    <w:name w:val="Subtitle"/>
    <w:basedOn w:val="Normal"/>
    <w:next w:val="BodyText"/>
    <w:link w:val="SubtitleChar"/>
    <w:uiPriority w:val="1"/>
    <w:qFormat/>
    <w:rsid w:val="00E36EF5"/>
    <w:pPr>
      <w:numPr>
        <w:ilvl w:val="1"/>
      </w:numPr>
      <w:spacing w:before="120" w:after="360"/>
    </w:pPr>
    <w:rPr>
      <w:rFonts w:ascii="Montserrat" w:eastAsiaTheme="minorEastAsia" w:hAnsi="Montserrat"/>
      <w:color w:val="F4953C"/>
      <w:spacing w:val="15"/>
      <w:sz w:val="28"/>
      <w:szCs w:val="22"/>
    </w:rPr>
  </w:style>
  <w:style w:type="character" w:customStyle="1" w:styleId="SubtitleChar">
    <w:name w:val="Subtitle Char"/>
    <w:basedOn w:val="DefaultParagraphFont"/>
    <w:link w:val="Subtitle"/>
    <w:uiPriority w:val="1"/>
    <w:rsid w:val="00E36EF5"/>
    <w:rPr>
      <w:rFonts w:ascii="Montserrat" w:eastAsiaTheme="minorEastAsia" w:hAnsi="Montserrat"/>
      <w:color w:val="F4953C"/>
      <w:spacing w:val="15"/>
      <w:sz w:val="28"/>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2">
    <w:name w:val="Table Grid2"/>
    <w:basedOn w:val="TableNormal"/>
    <w:next w:val="TableGrid"/>
    <w:uiPriority w:val="59"/>
    <w:rsid w:val="00AE58F8"/>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AE58F8"/>
  </w:style>
  <w:style w:type="character" w:styleId="CommentReference">
    <w:name w:val="annotation reference"/>
    <w:basedOn w:val="DefaultParagraphFont"/>
    <w:uiPriority w:val="99"/>
    <w:semiHidden/>
    <w:unhideWhenUsed/>
    <w:rsid w:val="00D249FB"/>
    <w:rPr>
      <w:sz w:val="16"/>
      <w:szCs w:val="16"/>
    </w:rPr>
  </w:style>
  <w:style w:type="paragraph" w:styleId="CommentText">
    <w:name w:val="annotation text"/>
    <w:basedOn w:val="Normal"/>
    <w:link w:val="CommentTextChar"/>
    <w:uiPriority w:val="99"/>
    <w:semiHidden/>
    <w:unhideWhenUsed/>
    <w:rsid w:val="00D249FB"/>
    <w:pPr>
      <w:spacing w:line="240" w:lineRule="auto"/>
    </w:pPr>
  </w:style>
  <w:style w:type="character" w:customStyle="1" w:styleId="CommentTextChar">
    <w:name w:val="Comment Text Char"/>
    <w:basedOn w:val="DefaultParagraphFont"/>
    <w:link w:val="CommentText"/>
    <w:uiPriority w:val="99"/>
    <w:semiHidden/>
    <w:rsid w:val="00D249FB"/>
  </w:style>
  <w:style w:type="paragraph" w:styleId="CommentSubject">
    <w:name w:val="annotation subject"/>
    <w:basedOn w:val="CommentText"/>
    <w:next w:val="CommentText"/>
    <w:link w:val="CommentSubjectChar"/>
    <w:uiPriority w:val="99"/>
    <w:semiHidden/>
    <w:unhideWhenUsed/>
    <w:rsid w:val="00D249FB"/>
    <w:rPr>
      <w:b/>
      <w:bCs/>
    </w:rPr>
  </w:style>
  <w:style w:type="character" w:customStyle="1" w:styleId="CommentSubjectChar">
    <w:name w:val="Comment Subject Char"/>
    <w:basedOn w:val="CommentTextChar"/>
    <w:link w:val="CommentSubject"/>
    <w:uiPriority w:val="99"/>
    <w:semiHidden/>
    <w:rsid w:val="00D24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0.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OFFICIAL</Classification>
  <DLM/>
  <SectionName/>
  <DH/>
  <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CB46ACAB-32DC-4E62-80A2-78B37644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2023-01-18T22:56:00Z</dcterms:created>
  <dcterms:modified xsi:type="dcterms:W3CDTF">2023-01-18T22:57:00Z</dcterms:modified>
</cp:coreProperties>
</file>